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BEA458">
      <w:pPr>
        <w:spacing w:before="156" w:beforeLines="50" w:after="156" w:afterLines="50" w:line="480" w:lineRule="exact"/>
        <w:ind w:left="558" w:hanging="558" w:hangingChars="155"/>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lang w:val="en-US" w:eastAsia="zh-CN"/>
        </w:rPr>
        <w:t>国际商</w:t>
      </w:r>
      <w:r>
        <w:rPr>
          <w:rFonts w:hint="eastAsia" w:ascii="方正小标宋简体" w:hAnsi="方正小标宋简体" w:eastAsia="方正小标宋简体" w:cs="方正小标宋简体"/>
          <w:bCs/>
          <w:sz w:val="36"/>
          <w:szCs w:val="36"/>
        </w:rPr>
        <w:t>学院</w:t>
      </w:r>
      <w:r>
        <w:rPr>
          <w:rFonts w:hint="eastAsia" w:ascii="方正小标宋简体" w:hAnsi="方正小标宋简体" w:eastAsia="方正小标宋简体" w:cs="方正小标宋简体"/>
          <w:bCs/>
          <w:sz w:val="36"/>
          <w:szCs w:val="36"/>
          <w:lang w:eastAsia="zh-CN"/>
        </w:rPr>
        <w:t>“</w:t>
      </w:r>
      <w:r>
        <w:rPr>
          <w:rFonts w:hint="eastAsia" w:ascii="方正小标宋简体" w:hAnsi="方正小标宋简体" w:eastAsia="方正小标宋简体" w:cs="方正小标宋简体"/>
          <w:bCs/>
          <w:sz w:val="36"/>
          <w:szCs w:val="36"/>
          <w:lang w:val="en-US" w:eastAsia="zh-CN"/>
        </w:rPr>
        <w:t>数字营销</w:t>
      </w:r>
      <w:r>
        <w:rPr>
          <w:rFonts w:hint="eastAsia" w:ascii="方正小标宋简体" w:hAnsi="方正小标宋简体" w:eastAsia="方正小标宋简体" w:cs="方正小标宋简体"/>
          <w:bCs/>
          <w:sz w:val="36"/>
          <w:szCs w:val="36"/>
          <w:lang w:eastAsia="zh-CN"/>
        </w:rPr>
        <w:t>”</w:t>
      </w:r>
      <w:r>
        <w:rPr>
          <w:rFonts w:hint="eastAsia" w:ascii="方正小标宋简体" w:hAnsi="方正小标宋简体" w:eastAsia="方正小标宋简体" w:cs="方正小标宋简体"/>
          <w:bCs/>
          <w:sz w:val="36"/>
          <w:szCs w:val="36"/>
        </w:rPr>
        <w:t>微专业人才培养方案</w:t>
      </w:r>
    </w:p>
    <w:p w14:paraId="557DE67D">
      <w:pPr>
        <w:spacing w:before="156" w:beforeLines="50" w:after="156" w:afterLines="50" w:line="480" w:lineRule="exact"/>
        <w:ind w:left="558" w:hanging="558" w:hangingChars="155"/>
        <w:jc w:val="center"/>
        <w:rPr>
          <w:rFonts w:hint="eastAsia" w:ascii="方正小标宋简体" w:hAnsi="方正小标宋简体" w:eastAsia="方正小标宋简体" w:cs="方正小标宋简体"/>
          <w:bCs/>
          <w:sz w:val="36"/>
          <w:szCs w:val="36"/>
        </w:rPr>
      </w:pPr>
    </w:p>
    <w:p w14:paraId="0F0F5949">
      <w:pPr>
        <w:widowControl/>
        <w:spacing w:after="156" w:line="0" w:lineRule="atLeast"/>
        <w:ind w:firstLine="560" w:firstLineChars="200"/>
        <w:jc w:val="left"/>
        <w:rPr>
          <w:rFonts w:ascii="黑体" w:hAnsi="黑体" w:eastAsia="黑体" w:cs="黑体"/>
          <w:bCs/>
          <w:sz w:val="28"/>
          <w:szCs w:val="28"/>
        </w:rPr>
      </w:pPr>
      <w:r>
        <w:rPr>
          <w:rFonts w:hint="eastAsia" w:ascii="黑体" w:hAnsi="黑体" w:eastAsia="黑体" w:cs="黑体"/>
          <w:bCs/>
          <w:sz w:val="28"/>
          <w:szCs w:val="28"/>
        </w:rPr>
        <w:t>一、培养目标</w:t>
      </w:r>
      <w:bookmarkStart w:id="0" w:name="_GoBack"/>
      <w:bookmarkEnd w:id="0"/>
    </w:p>
    <w:p w14:paraId="6A9277A6">
      <w:pPr>
        <w:widowControl/>
        <w:ind w:firstLine="560" w:firstLineChars="200"/>
        <w:rPr>
          <w:rFonts w:hint="eastAsia" w:ascii="仿宋_GB2312" w:eastAsia="仿宋_GB2312"/>
          <w:sz w:val="28"/>
          <w:szCs w:val="28"/>
        </w:rPr>
      </w:pPr>
      <w:r>
        <w:rPr>
          <w:rFonts w:hint="eastAsia" w:ascii="仿宋_GB2312" w:eastAsia="仿宋_GB2312"/>
          <w:sz w:val="28"/>
          <w:szCs w:val="28"/>
        </w:rPr>
        <w:t>本专业培养具有良好的数字化思维能力，掌握数字营销的基础理论和专业知识，具有较好的实践能力，掌握市场分析、市场挖掘、营销策划的基本方法，能够综合使用数字营销工具解决社会发展和企业生产中有关营销数字化转型的实际问题的高素质复合型人才。</w:t>
      </w:r>
    </w:p>
    <w:p w14:paraId="78FBC242">
      <w:pPr>
        <w:widowControl/>
        <w:ind w:firstLine="560" w:firstLineChars="200"/>
        <w:rPr>
          <w:rFonts w:hint="eastAsia" w:ascii="仿宋_GB2312" w:eastAsia="仿宋_GB2312"/>
          <w:b w:val="0"/>
          <w:bCs w:val="0"/>
          <w:sz w:val="28"/>
          <w:szCs w:val="28"/>
        </w:rPr>
      </w:pPr>
      <w:r>
        <w:rPr>
          <w:rFonts w:hint="eastAsia" w:ascii="仿宋_GB2312" w:eastAsia="仿宋_GB2312"/>
          <w:b w:val="0"/>
          <w:bCs w:val="0"/>
          <w:sz w:val="28"/>
          <w:szCs w:val="28"/>
        </w:rPr>
        <w:t>知识目标：系统掌握数字营销基础理论、数字消费者行为规律、</w:t>
      </w:r>
      <w:r>
        <w:rPr>
          <w:rFonts w:hint="eastAsia" w:ascii="仿宋_GB2312" w:eastAsia="仿宋_GB2312"/>
          <w:b w:val="0"/>
          <w:bCs w:val="0"/>
          <w:sz w:val="28"/>
          <w:szCs w:val="28"/>
          <w:lang w:val="en-US" w:eastAsia="zh-CN"/>
        </w:rPr>
        <w:t>数智化市场调研方法</w:t>
      </w:r>
      <w:r>
        <w:rPr>
          <w:rFonts w:hint="eastAsia" w:ascii="仿宋_GB2312" w:eastAsia="仿宋_GB2312"/>
          <w:b w:val="0"/>
          <w:bCs w:val="0"/>
          <w:sz w:val="28"/>
          <w:szCs w:val="28"/>
        </w:rPr>
        <w:t>，通晓跨境数字营销规则与行业合规要求；</w:t>
      </w:r>
    </w:p>
    <w:p w14:paraId="608E0868">
      <w:pPr>
        <w:widowControl/>
        <w:ind w:firstLine="560" w:firstLineChars="200"/>
        <w:rPr>
          <w:rFonts w:hint="eastAsia" w:ascii="仿宋_GB2312" w:eastAsia="仿宋_GB2312"/>
          <w:b w:val="0"/>
          <w:bCs w:val="0"/>
          <w:sz w:val="28"/>
          <w:szCs w:val="28"/>
        </w:rPr>
      </w:pPr>
      <w:r>
        <w:rPr>
          <w:rFonts w:hint="eastAsia" w:ascii="仿宋_GB2312" w:eastAsia="仿宋_GB2312"/>
          <w:b w:val="0"/>
          <w:bCs w:val="0"/>
          <w:sz w:val="28"/>
          <w:szCs w:val="28"/>
        </w:rPr>
        <w:t>能力目标：具备数字营销方案策划、数字消费者洞察、</w:t>
      </w:r>
      <w:r>
        <w:rPr>
          <w:rFonts w:hint="eastAsia" w:ascii="仿宋_GB2312" w:eastAsia="仿宋_GB2312"/>
          <w:b w:val="0"/>
          <w:bCs w:val="0"/>
          <w:sz w:val="28"/>
          <w:szCs w:val="28"/>
          <w:lang w:val="en-US" w:eastAsia="zh-CN"/>
        </w:rPr>
        <w:t>数智化市场调研</w:t>
      </w:r>
      <w:r>
        <w:rPr>
          <w:rFonts w:hint="eastAsia" w:ascii="仿宋_GB2312" w:eastAsia="仿宋_GB2312"/>
          <w:b w:val="0"/>
          <w:bCs w:val="0"/>
          <w:sz w:val="28"/>
          <w:szCs w:val="28"/>
        </w:rPr>
        <w:t>、跨境营销落地的核心能力；</w:t>
      </w:r>
    </w:p>
    <w:p w14:paraId="4D2D7FA5">
      <w:pPr>
        <w:widowControl/>
        <w:ind w:firstLine="560" w:firstLineChars="200"/>
        <w:rPr>
          <w:rFonts w:hint="eastAsia" w:ascii="仿宋_GB2312" w:eastAsia="仿宋_GB2312"/>
          <w:b w:val="0"/>
          <w:bCs w:val="0"/>
          <w:sz w:val="28"/>
          <w:szCs w:val="28"/>
        </w:rPr>
      </w:pPr>
      <w:r>
        <w:rPr>
          <w:rFonts w:hint="eastAsia" w:ascii="仿宋_GB2312" w:eastAsia="仿宋_GB2312"/>
          <w:b w:val="0"/>
          <w:bCs w:val="0"/>
          <w:sz w:val="28"/>
          <w:szCs w:val="28"/>
        </w:rPr>
        <w:t>素养目标：塑造数据驱动的营销思维与创新型问题解决能力，强化数字营销伦理与跨文化沟通素养，培养服务企业数字化转型的责任感。</w:t>
      </w:r>
    </w:p>
    <w:p w14:paraId="07C8CDDE">
      <w:pPr>
        <w:widowControl/>
        <w:ind w:firstLine="560" w:firstLineChars="200"/>
        <w:rPr>
          <w:rFonts w:ascii="黑体" w:hAnsi="黑体" w:eastAsia="黑体" w:cs="黑体"/>
          <w:bCs/>
          <w:sz w:val="28"/>
          <w:szCs w:val="28"/>
        </w:rPr>
      </w:pPr>
      <w:r>
        <w:rPr>
          <w:rFonts w:hint="eastAsia" w:ascii="黑体" w:hAnsi="黑体" w:eastAsia="黑体" w:cs="黑体"/>
          <w:bCs/>
          <w:sz w:val="28"/>
          <w:szCs w:val="28"/>
        </w:rPr>
        <w:t>二、毕业要求</w:t>
      </w:r>
    </w:p>
    <w:p w14:paraId="01C58AD1">
      <w:pPr>
        <w:widowControl/>
        <w:ind w:firstLine="560" w:firstLineChars="200"/>
        <w:rPr>
          <w:rFonts w:hint="eastAsia" w:ascii="仿宋_GB2312" w:eastAsia="仿宋_GB2312"/>
          <w:sz w:val="28"/>
          <w:szCs w:val="28"/>
        </w:rPr>
      </w:pPr>
      <w:r>
        <w:rPr>
          <w:rFonts w:hint="eastAsia" w:ascii="仿宋_GB2312" w:eastAsia="仿宋_GB2312"/>
          <w:sz w:val="28"/>
          <w:szCs w:val="28"/>
        </w:rPr>
        <w:t>本专业要求学生学习并掌握数字营销技术的</w:t>
      </w:r>
      <w:r>
        <w:rPr>
          <w:rFonts w:hint="eastAsia" w:ascii="仿宋_GB2312" w:eastAsia="仿宋_GB2312"/>
          <w:sz w:val="28"/>
          <w:szCs w:val="28"/>
          <w:lang w:val="en-US" w:eastAsia="zh-CN"/>
        </w:rPr>
        <w:t>核心</w:t>
      </w:r>
      <w:r>
        <w:rPr>
          <w:rFonts w:hint="eastAsia" w:ascii="仿宋_GB2312" w:eastAsia="仿宋_GB2312"/>
          <w:sz w:val="28"/>
          <w:szCs w:val="28"/>
        </w:rPr>
        <w:t>理论和方法,受到科学研究的初步训练,能够运用所学知识和数字营销技能解决实际问题；具备包括数据驱动思维在内的科学思维能力</w:t>
      </w:r>
      <w:r>
        <w:rPr>
          <w:rFonts w:hint="eastAsia" w:ascii="仿宋_GB2312" w:eastAsia="仿宋_GB2312"/>
          <w:sz w:val="28"/>
          <w:szCs w:val="28"/>
          <w:lang w:eastAsia="zh-CN"/>
        </w:rPr>
        <w:t>；</w:t>
      </w:r>
      <w:r>
        <w:rPr>
          <w:rFonts w:hint="eastAsia" w:ascii="仿宋_GB2312" w:eastAsia="仿宋_GB2312"/>
          <w:sz w:val="28"/>
          <w:szCs w:val="28"/>
        </w:rPr>
        <w:t>具备解决营销策略问题的实操能力；具有良好的创新和创业意识、竞争意识和团队精神。</w:t>
      </w:r>
    </w:p>
    <w:p w14:paraId="0DE69E8C">
      <w:pPr>
        <w:widowControl/>
        <w:ind w:firstLine="560" w:firstLineChars="200"/>
        <w:rPr>
          <w:rFonts w:hint="eastAsia" w:ascii="仿宋_GB2312" w:eastAsia="仿宋_GB2312"/>
          <w:sz w:val="28"/>
          <w:szCs w:val="28"/>
        </w:rPr>
      </w:pPr>
      <w:r>
        <w:rPr>
          <w:rFonts w:hint="eastAsia" w:ascii="仿宋_GB2312" w:eastAsia="仿宋_GB2312"/>
          <w:sz w:val="28"/>
          <w:szCs w:val="28"/>
        </w:rPr>
        <w:t>毕业生应获得以下几方面的知识、能力和素质：</w:t>
      </w:r>
    </w:p>
    <w:p w14:paraId="246377C7">
      <w:pPr>
        <w:widowControl/>
        <w:ind w:firstLine="560" w:firstLineChars="200"/>
        <w:rPr>
          <w:rFonts w:hint="eastAsia" w:ascii="仿宋_GB2312" w:eastAsia="仿宋_GB2312"/>
          <w:sz w:val="28"/>
          <w:szCs w:val="28"/>
        </w:rPr>
      </w:pPr>
      <w:r>
        <w:rPr>
          <w:rFonts w:hint="eastAsia" w:ascii="仿宋_GB2312" w:eastAsia="仿宋_GB2312"/>
          <w:sz w:val="28"/>
          <w:szCs w:val="28"/>
        </w:rPr>
        <w:t>1.</w:t>
      </w:r>
      <w:r>
        <w:rPr>
          <w:rFonts w:hint="eastAsia" w:ascii="仿宋_GB2312" w:eastAsia="仿宋_GB2312"/>
          <w:sz w:val="28"/>
          <w:szCs w:val="28"/>
          <w:lang w:val="en-US" w:eastAsia="zh-CN"/>
        </w:rPr>
        <w:t>专业知识的掌握与应用：</w:t>
      </w:r>
      <w:r>
        <w:rPr>
          <w:rFonts w:hint="eastAsia" w:ascii="仿宋_GB2312" w:eastAsia="仿宋_GB2312"/>
          <w:sz w:val="28"/>
          <w:szCs w:val="28"/>
        </w:rPr>
        <w:t>掌握数字营销专业基础知识，能运用数据分析与可视化的方法解决企业营销决策中的实际问题；</w:t>
      </w:r>
    </w:p>
    <w:p w14:paraId="77EBACA2">
      <w:pPr>
        <w:widowControl/>
        <w:ind w:firstLine="560" w:firstLineChars="200"/>
        <w:rPr>
          <w:rFonts w:hint="eastAsia" w:ascii="仿宋_GB2312" w:eastAsia="仿宋_GB2312"/>
          <w:sz w:val="28"/>
          <w:szCs w:val="28"/>
        </w:rPr>
      </w:pPr>
      <w:r>
        <w:rPr>
          <w:rFonts w:hint="eastAsia" w:ascii="仿宋_GB2312" w:eastAsia="仿宋_GB2312"/>
          <w:sz w:val="28"/>
          <w:szCs w:val="28"/>
        </w:rPr>
        <w:t>2.</w:t>
      </w:r>
      <w:r>
        <w:rPr>
          <w:rFonts w:hint="eastAsia" w:ascii="仿宋_GB2312" w:eastAsia="仿宋_GB2312"/>
          <w:sz w:val="28"/>
          <w:szCs w:val="28"/>
          <w:lang w:val="en-US" w:eastAsia="zh-CN"/>
        </w:rPr>
        <w:t>前沿认知与创新意识：</w:t>
      </w:r>
      <w:r>
        <w:rPr>
          <w:rFonts w:hint="eastAsia" w:ascii="仿宋_GB2312" w:eastAsia="仿宋_GB2312"/>
          <w:sz w:val="28"/>
          <w:szCs w:val="28"/>
        </w:rPr>
        <w:t>了解</w:t>
      </w:r>
      <w:r>
        <w:rPr>
          <w:rFonts w:hint="eastAsia" w:ascii="仿宋_GB2312" w:eastAsia="仿宋_GB2312"/>
          <w:sz w:val="28"/>
          <w:szCs w:val="28"/>
          <w:lang w:val="en-US" w:eastAsia="zh-CN"/>
        </w:rPr>
        <w:t>数字</w:t>
      </w:r>
      <w:r>
        <w:rPr>
          <w:rFonts w:hint="eastAsia" w:ascii="仿宋_GB2312" w:eastAsia="仿宋_GB2312"/>
          <w:sz w:val="28"/>
          <w:szCs w:val="28"/>
        </w:rPr>
        <w:t>营销领域</w:t>
      </w:r>
      <w:r>
        <w:rPr>
          <w:rFonts w:hint="eastAsia" w:ascii="仿宋_GB2312" w:eastAsia="仿宋_GB2312"/>
          <w:sz w:val="28"/>
          <w:szCs w:val="28"/>
          <w:lang w:val="en-US" w:eastAsia="zh-CN"/>
        </w:rPr>
        <w:t>的</w:t>
      </w:r>
      <w:r>
        <w:rPr>
          <w:rFonts w:hint="eastAsia" w:ascii="仿宋_GB2312" w:eastAsia="仿宋_GB2312"/>
          <w:sz w:val="28"/>
          <w:szCs w:val="28"/>
        </w:rPr>
        <w:t>理论、技术及应用的新发展，具有较强的创新意识；</w:t>
      </w:r>
    </w:p>
    <w:p w14:paraId="5ACB14A0">
      <w:pPr>
        <w:widowControl/>
        <w:ind w:firstLine="560" w:firstLineChars="200"/>
        <w:rPr>
          <w:rFonts w:hint="eastAsia" w:ascii="仿宋_GB2312" w:eastAsia="仿宋_GB2312"/>
          <w:sz w:val="28"/>
          <w:szCs w:val="28"/>
        </w:rPr>
      </w:pPr>
      <w:r>
        <w:rPr>
          <w:rFonts w:hint="eastAsia" w:ascii="仿宋_GB2312" w:eastAsia="仿宋_GB2312"/>
          <w:sz w:val="28"/>
          <w:szCs w:val="28"/>
        </w:rPr>
        <w:t>3.</w:t>
      </w:r>
      <w:r>
        <w:rPr>
          <w:rFonts w:hint="eastAsia" w:ascii="仿宋_GB2312" w:eastAsia="仿宋_GB2312"/>
          <w:sz w:val="28"/>
          <w:szCs w:val="28"/>
          <w:lang w:val="en-US" w:eastAsia="zh-CN"/>
        </w:rPr>
        <w:t>团队协作与自主学习：</w:t>
      </w:r>
      <w:r>
        <w:rPr>
          <w:rFonts w:hint="eastAsia" w:ascii="仿宋_GB2312" w:eastAsia="仿宋_GB2312"/>
          <w:sz w:val="28"/>
          <w:szCs w:val="28"/>
        </w:rPr>
        <w:t>具有个人工作和团队协作的能力，具有创新精神和自主学习与适应发展的能力。</w:t>
      </w:r>
    </w:p>
    <w:p w14:paraId="1B939917">
      <w:pPr>
        <w:keepNext w:val="0"/>
        <w:keepLines w:val="0"/>
        <w:pageBreakBefore w:val="0"/>
        <w:widowControl w:val="0"/>
        <w:kinsoku/>
        <w:wordWrap/>
        <w:overflowPunct/>
        <w:topLinePunct w:val="0"/>
        <w:autoSpaceDE/>
        <w:autoSpaceDN/>
        <w:bidi w:val="0"/>
        <w:adjustRightInd/>
        <w:snapToGrid/>
        <w:spacing w:before="156" w:beforeLines="50" w:after="156" w:afterLines="50" w:line="480" w:lineRule="exact"/>
        <w:ind w:firstLine="560" w:firstLineChars="200"/>
        <w:textAlignment w:val="auto"/>
        <w:rPr>
          <w:rFonts w:hint="eastAsia" w:ascii="黑体" w:hAnsi="黑体" w:eastAsia="黑体" w:cs="黑体"/>
          <w:bCs/>
          <w:sz w:val="28"/>
          <w:szCs w:val="28"/>
        </w:rPr>
      </w:pPr>
      <w:r>
        <w:rPr>
          <w:rFonts w:hint="eastAsia" w:ascii="黑体" w:hAnsi="黑体" w:eastAsia="黑体" w:cs="黑体"/>
          <w:bCs/>
          <w:sz w:val="28"/>
          <w:szCs w:val="28"/>
        </w:rPr>
        <w:t>三、招生对象与条件</w:t>
      </w:r>
    </w:p>
    <w:p w14:paraId="2082085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黑体" w:hAnsi="黑体" w:eastAsia="仿宋_GB2312" w:cs="黑体"/>
          <w:bCs/>
          <w:sz w:val="28"/>
          <w:szCs w:val="28"/>
          <w:lang w:eastAsia="zh-CN"/>
        </w:rPr>
      </w:pPr>
      <w:r>
        <w:rPr>
          <w:rFonts w:hint="eastAsia" w:ascii="仿宋_GB2312" w:eastAsia="仿宋_GB2312"/>
          <w:color w:val="auto"/>
          <w:sz w:val="28"/>
          <w:szCs w:val="28"/>
          <w:lang w:val="en-US" w:eastAsia="zh-CN"/>
        </w:rPr>
        <w:t>大二、大三年级的全日制本科学生，</w:t>
      </w:r>
      <w:r>
        <w:rPr>
          <w:rFonts w:hint="eastAsia" w:ascii="仿宋_GB2312" w:eastAsia="仿宋_GB2312"/>
          <w:sz w:val="28"/>
          <w:szCs w:val="28"/>
          <w:lang w:val="en-US" w:eastAsia="zh-CN"/>
        </w:rPr>
        <w:t>对数字营销、消费者行为分析与人工智能技术应用具有浓厚兴趣者。</w:t>
      </w:r>
    </w:p>
    <w:p w14:paraId="09EE98B0">
      <w:pPr>
        <w:spacing w:before="156" w:beforeLines="50" w:after="156" w:afterLines="50" w:line="480" w:lineRule="exact"/>
        <w:ind w:firstLine="560" w:firstLineChars="200"/>
        <w:rPr>
          <w:rFonts w:ascii="黑体" w:hAnsi="黑体" w:eastAsia="黑体" w:cs="黑体"/>
          <w:bCs/>
          <w:sz w:val="28"/>
          <w:szCs w:val="28"/>
        </w:rPr>
      </w:pPr>
      <w:r>
        <w:rPr>
          <w:rFonts w:hint="eastAsia" w:ascii="黑体" w:hAnsi="黑体" w:eastAsia="黑体" w:cs="黑体"/>
          <w:bCs/>
          <w:sz w:val="28"/>
          <w:szCs w:val="28"/>
        </w:rPr>
        <w:t>四、学分与证书</w:t>
      </w:r>
    </w:p>
    <w:p w14:paraId="519251A0">
      <w:pPr>
        <w:widowControl/>
        <w:ind w:firstLine="560" w:firstLineChars="200"/>
        <w:rPr>
          <w:rFonts w:ascii="宋体" w:hAnsi="宋体"/>
          <w:bCs/>
          <w:sz w:val="28"/>
          <w:szCs w:val="28"/>
        </w:rPr>
      </w:pPr>
      <w:r>
        <w:rPr>
          <w:rFonts w:hint="eastAsia" w:ascii="仿宋_GB2312" w:eastAsia="仿宋_GB2312"/>
          <w:color w:val="auto"/>
          <w:sz w:val="28"/>
          <w:szCs w:val="28"/>
          <w:lang w:val="en-US" w:eastAsia="zh-CN"/>
        </w:rPr>
        <w:t>学生在本科毕业或结业离校前，修读完成微专业培养方案规定的所有课程，且成绩全部合格，获得相应学分，由学校颁发微专业证书。</w:t>
      </w:r>
    </w:p>
    <w:p w14:paraId="73DD1E29">
      <w:pPr>
        <w:spacing w:before="156" w:beforeLines="50" w:after="156" w:afterLines="50" w:line="480" w:lineRule="exact"/>
        <w:ind w:firstLine="560" w:firstLineChars="200"/>
        <w:rPr>
          <w:rFonts w:ascii="黑体" w:hAnsi="黑体" w:eastAsia="黑体" w:cs="黑体"/>
          <w:bCs/>
          <w:sz w:val="28"/>
          <w:szCs w:val="28"/>
        </w:rPr>
      </w:pPr>
      <w:r>
        <w:rPr>
          <w:rFonts w:hint="eastAsia" w:ascii="黑体" w:hAnsi="黑体" w:eastAsia="黑体" w:cs="黑体"/>
          <w:bCs/>
          <w:sz w:val="28"/>
          <w:szCs w:val="28"/>
        </w:rPr>
        <w:t>五、指导性教学计划进度表</w:t>
      </w:r>
    </w:p>
    <w:p w14:paraId="5D38483D">
      <w:pPr>
        <w:widowControl/>
        <w:spacing w:after="156" w:line="0" w:lineRule="atLeast"/>
        <w:jc w:val="center"/>
        <w:rPr>
          <w:rFonts w:ascii="黑体" w:hAnsi="黑体" w:eastAsia="黑体" w:cs="黑体"/>
          <w:bCs/>
          <w:sz w:val="28"/>
          <w:szCs w:val="28"/>
        </w:rPr>
      </w:pPr>
      <w:r>
        <w:rPr>
          <w:rFonts w:hint="eastAsia" w:ascii="黑体" w:hAnsi="黑体" w:eastAsia="黑体" w:cs="黑体"/>
          <w:bCs/>
          <w:sz w:val="28"/>
          <w:szCs w:val="28"/>
          <w:lang w:val="en-US" w:eastAsia="zh-CN"/>
        </w:rPr>
        <w:t>数字营销</w:t>
      </w:r>
      <w:r>
        <w:rPr>
          <w:rFonts w:hint="eastAsia" w:ascii="黑体" w:hAnsi="黑体" w:eastAsia="黑体" w:cs="黑体"/>
          <w:bCs/>
          <w:sz w:val="28"/>
          <w:szCs w:val="28"/>
        </w:rPr>
        <w:t>微专业指导性教学计划进度表</w:t>
      </w:r>
    </w:p>
    <w:tbl>
      <w:tblPr>
        <w:tblStyle w:val="3"/>
        <w:tblpPr w:leftFromText="180" w:rightFromText="180" w:vertAnchor="text" w:horzAnchor="page" w:tblpXSpec="center" w:tblpY="156"/>
        <w:tblOverlap w:val="never"/>
        <w:tblW w:w="491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41"/>
        <w:gridCol w:w="658"/>
        <w:gridCol w:w="903"/>
        <w:gridCol w:w="936"/>
        <w:gridCol w:w="800"/>
        <w:gridCol w:w="1162"/>
        <w:gridCol w:w="1175"/>
        <w:gridCol w:w="1257"/>
      </w:tblGrid>
      <w:tr w14:paraId="363AE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2" w:hRule="atLeast"/>
          <w:jc w:val="center"/>
        </w:trPr>
        <w:tc>
          <w:tcPr>
            <w:tcW w:w="1227" w:type="pct"/>
            <w:vMerge w:val="restart"/>
            <w:vAlign w:val="center"/>
          </w:tcPr>
          <w:p w14:paraId="6BA7FECE">
            <w:pPr>
              <w:widowControl/>
              <w:jc w:val="center"/>
              <w:rPr>
                <w:rFonts w:ascii="黑体" w:hAnsi="黑体" w:eastAsia="黑体"/>
                <w:bCs/>
                <w:sz w:val="21"/>
                <w:szCs w:val="21"/>
              </w:rPr>
            </w:pPr>
            <w:r>
              <w:rPr>
                <w:rFonts w:hint="eastAsia" w:ascii="黑体" w:hAnsi="黑体" w:eastAsia="黑体"/>
                <w:bCs/>
                <w:sz w:val="21"/>
                <w:szCs w:val="21"/>
              </w:rPr>
              <w:t>课程名称</w:t>
            </w:r>
          </w:p>
        </w:tc>
        <w:tc>
          <w:tcPr>
            <w:tcW w:w="360" w:type="pct"/>
            <w:vMerge w:val="restart"/>
            <w:vAlign w:val="center"/>
          </w:tcPr>
          <w:p w14:paraId="66A4E915">
            <w:pPr>
              <w:widowControl/>
              <w:jc w:val="center"/>
              <w:rPr>
                <w:rFonts w:ascii="黑体" w:hAnsi="黑体" w:eastAsia="黑体"/>
                <w:bCs/>
                <w:spacing w:val="20"/>
                <w:sz w:val="21"/>
                <w:szCs w:val="21"/>
              </w:rPr>
            </w:pPr>
            <w:r>
              <w:rPr>
                <w:rFonts w:hint="eastAsia" w:ascii="黑体" w:hAnsi="黑体" w:eastAsia="黑体"/>
                <w:bCs/>
                <w:sz w:val="21"/>
                <w:szCs w:val="21"/>
              </w:rPr>
              <w:t>学分</w:t>
            </w:r>
          </w:p>
        </w:tc>
        <w:tc>
          <w:tcPr>
            <w:tcW w:w="494" w:type="pct"/>
            <w:vMerge w:val="restart"/>
            <w:vAlign w:val="center"/>
          </w:tcPr>
          <w:p w14:paraId="68248738">
            <w:pPr>
              <w:widowControl/>
              <w:jc w:val="center"/>
              <w:rPr>
                <w:rFonts w:ascii="黑体" w:hAnsi="黑体" w:eastAsia="黑体"/>
                <w:bCs/>
                <w:sz w:val="21"/>
                <w:szCs w:val="21"/>
              </w:rPr>
            </w:pPr>
            <w:r>
              <w:rPr>
                <w:rFonts w:ascii="黑体" w:hAnsi="黑体" w:eastAsia="黑体"/>
                <w:bCs/>
                <w:sz w:val="21"/>
                <w:szCs w:val="21"/>
              </w:rPr>
              <w:t>总学时</w:t>
            </w:r>
          </w:p>
        </w:tc>
        <w:tc>
          <w:tcPr>
            <w:tcW w:w="950" w:type="pct"/>
            <w:gridSpan w:val="2"/>
            <w:vAlign w:val="center"/>
          </w:tcPr>
          <w:p w14:paraId="7154C514">
            <w:pPr>
              <w:widowControl/>
              <w:snapToGrid w:val="0"/>
              <w:jc w:val="center"/>
              <w:rPr>
                <w:rFonts w:hint="default" w:ascii="黑体" w:hAnsi="黑体" w:eastAsia="黑体"/>
                <w:bCs/>
                <w:sz w:val="21"/>
                <w:szCs w:val="21"/>
                <w:lang w:val="en-US" w:eastAsia="zh-CN"/>
              </w:rPr>
            </w:pPr>
            <w:r>
              <w:rPr>
                <w:rFonts w:hint="eastAsia" w:ascii="黑体" w:hAnsi="黑体" w:eastAsia="黑体"/>
                <w:bCs/>
                <w:sz w:val="21"/>
                <w:szCs w:val="21"/>
                <w:lang w:val="en-US" w:eastAsia="zh-CN"/>
              </w:rPr>
              <w:t>学时分配</w:t>
            </w:r>
          </w:p>
        </w:tc>
        <w:tc>
          <w:tcPr>
            <w:tcW w:w="636" w:type="pct"/>
            <w:vMerge w:val="restart"/>
            <w:vAlign w:val="center"/>
          </w:tcPr>
          <w:p w14:paraId="39129225">
            <w:pPr>
              <w:widowControl/>
              <w:snapToGrid w:val="0"/>
              <w:jc w:val="center"/>
              <w:rPr>
                <w:rFonts w:hint="eastAsia" w:ascii="黑体" w:hAnsi="黑体" w:eastAsia="黑体"/>
                <w:bCs/>
                <w:sz w:val="21"/>
                <w:szCs w:val="21"/>
              </w:rPr>
            </w:pPr>
            <w:r>
              <w:rPr>
                <w:rFonts w:hint="eastAsia" w:ascii="黑体" w:hAnsi="黑体" w:eastAsia="黑体"/>
                <w:bCs/>
                <w:sz w:val="21"/>
                <w:szCs w:val="21"/>
              </w:rPr>
              <w:t>课程性质</w:t>
            </w:r>
          </w:p>
        </w:tc>
        <w:tc>
          <w:tcPr>
            <w:tcW w:w="643" w:type="pct"/>
            <w:vMerge w:val="restart"/>
            <w:vAlign w:val="center"/>
          </w:tcPr>
          <w:p w14:paraId="53348C0C">
            <w:pPr>
              <w:widowControl/>
              <w:snapToGrid w:val="0"/>
              <w:jc w:val="center"/>
              <w:rPr>
                <w:rFonts w:ascii="黑体" w:hAnsi="黑体" w:eastAsia="黑体"/>
                <w:bCs/>
                <w:sz w:val="21"/>
                <w:szCs w:val="21"/>
              </w:rPr>
            </w:pPr>
            <w:r>
              <w:rPr>
                <w:rFonts w:hint="eastAsia" w:ascii="黑体" w:hAnsi="黑体" w:eastAsia="黑体"/>
                <w:bCs/>
                <w:sz w:val="21"/>
                <w:szCs w:val="21"/>
              </w:rPr>
              <w:t>考核方式</w:t>
            </w:r>
          </w:p>
        </w:tc>
        <w:tc>
          <w:tcPr>
            <w:tcW w:w="688" w:type="pct"/>
            <w:vMerge w:val="restart"/>
            <w:vAlign w:val="center"/>
          </w:tcPr>
          <w:p w14:paraId="60C62452">
            <w:pPr>
              <w:widowControl/>
              <w:snapToGrid w:val="0"/>
              <w:jc w:val="center"/>
              <w:rPr>
                <w:rFonts w:ascii="黑体" w:hAnsi="黑体" w:eastAsia="黑体"/>
                <w:bCs/>
                <w:sz w:val="21"/>
                <w:szCs w:val="21"/>
              </w:rPr>
            </w:pPr>
            <w:r>
              <w:rPr>
                <w:rFonts w:ascii="黑体" w:hAnsi="黑体" w:eastAsia="黑体"/>
                <w:bCs/>
                <w:sz w:val="21"/>
                <w:szCs w:val="21"/>
              </w:rPr>
              <w:t>开课</w:t>
            </w:r>
            <w:r>
              <w:rPr>
                <w:rFonts w:hint="eastAsia" w:ascii="黑体" w:hAnsi="黑体" w:eastAsia="黑体"/>
                <w:bCs/>
                <w:spacing w:val="20"/>
                <w:sz w:val="21"/>
                <w:szCs w:val="21"/>
              </w:rPr>
              <w:t>学期</w:t>
            </w:r>
          </w:p>
        </w:tc>
      </w:tr>
      <w:tr w14:paraId="77352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27" w:type="pct"/>
            <w:vMerge w:val="continue"/>
            <w:vAlign w:val="center"/>
          </w:tcPr>
          <w:p w14:paraId="72EF9FD1">
            <w:pPr>
              <w:widowControl/>
              <w:jc w:val="center"/>
              <w:rPr>
                <w:rFonts w:hint="eastAsia" w:ascii="黑体" w:hAnsi="黑体" w:eastAsia="黑体"/>
                <w:bCs/>
                <w:sz w:val="21"/>
                <w:szCs w:val="21"/>
              </w:rPr>
            </w:pPr>
          </w:p>
        </w:tc>
        <w:tc>
          <w:tcPr>
            <w:tcW w:w="360" w:type="pct"/>
            <w:vMerge w:val="continue"/>
            <w:tcBorders>
              <w:bottom w:val="single" w:color="auto" w:sz="4" w:space="0"/>
            </w:tcBorders>
            <w:vAlign w:val="center"/>
          </w:tcPr>
          <w:p w14:paraId="4237708E">
            <w:pPr>
              <w:widowControl/>
              <w:jc w:val="center"/>
              <w:rPr>
                <w:rFonts w:hint="eastAsia" w:ascii="黑体" w:hAnsi="黑体" w:eastAsia="黑体"/>
                <w:bCs/>
                <w:sz w:val="21"/>
                <w:szCs w:val="21"/>
              </w:rPr>
            </w:pPr>
          </w:p>
        </w:tc>
        <w:tc>
          <w:tcPr>
            <w:tcW w:w="494" w:type="pct"/>
            <w:vMerge w:val="continue"/>
            <w:vAlign w:val="center"/>
          </w:tcPr>
          <w:p w14:paraId="08F5537B">
            <w:pPr>
              <w:widowControl/>
              <w:jc w:val="center"/>
              <w:rPr>
                <w:rFonts w:ascii="黑体" w:hAnsi="黑体" w:eastAsia="黑体"/>
                <w:bCs/>
                <w:sz w:val="21"/>
                <w:szCs w:val="21"/>
              </w:rPr>
            </w:pPr>
          </w:p>
        </w:tc>
        <w:tc>
          <w:tcPr>
            <w:tcW w:w="512" w:type="pct"/>
            <w:vAlign w:val="center"/>
          </w:tcPr>
          <w:p w14:paraId="08F728BF">
            <w:pPr>
              <w:widowControl/>
              <w:snapToGrid w:val="0"/>
              <w:jc w:val="center"/>
              <w:rPr>
                <w:rFonts w:hint="eastAsia" w:ascii="黑体" w:hAnsi="黑体" w:eastAsia="黑体"/>
                <w:bCs/>
                <w:sz w:val="21"/>
                <w:szCs w:val="21"/>
                <w:lang w:val="en-US" w:eastAsia="zh-CN"/>
              </w:rPr>
            </w:pPr>
            <w:r>
              <w:rPr>
                <w:rFonts w:hint="eastAsia" w:ascii="黑体" w:hAnsi="黑体" w:eastAsia="黑体"/>
                <w:bCs/>
                <w:sz w:val="21"/>
                <w:szCs w:val="21"/>
                <w:lang w:val="en-US" w:eastAsia="zh-CN"/>
              </w:rPr>
              <w:t>理论</w:t>
            </w:r>
          </w:p>
        </w:tc>
        <w:tc>
          <w:tcPr>
            <w:tcW w:w="437" w:type="pct"/>
            <w:vAlign w:val="center"/>
          </w:tcPr>
          <w:p w14:paraId="2C029E03">
            <w:pPr>
              <w:widowControl/>
              <w:snapToGrid w:val="0"/>
              <w:jc w:val="center"/>
              <w:rPr>
                <w:rFonts w:hint="eastAsia" w:ascii="黑体" w:hAnsi="黑体" w:eastAsia="黑体"/>
                <w:bCs/>
                <w:sz w:val="21"/>
                <w:szCs w:val="21"/>
                <w:lang w:val="en-US" w:eastAsia="zh-CN"/>
              </w:rPr>
            </w:pPr>
            <w:r>
              <w:rPr>
                <w:rFonts w:hint="eastAsia" w:ascii="黑体" w:hAnsi="黑体" w:eastAsia="黑体"/>
                <w:bCs/>
                <w:sz w:val="21"/>
                <w:szCs w:val="21"/>
                <w:lang w:val="en-US" w:eastAsia="zh-CN"/>
              </w:rPr>
              <w:t>实践</w:t>
            </w:r>
          </w:p>
        </w:tc>
        <w:tc>
          <w:tcPr>
            <w:tcW w:w="636" w:type="pct"/>
            <w:vMerge w:val="continue"/>
            <w:vAlign w:val="center"/>
          </w:tcPr>
          <w:p w14:paraId="60AA06E5">
            <w:pPr>
              <w:widowControl/>
              <w:snapToGrid w:val="0"/>
              <w:jc w:val="center"/>
              <w:rPr>
                <w:rFonts w:hint="eastAsia" w:ascii="黑体" w:hAnsi="黑体" w:eastAsia="黑体"/>
                <w:bCs/>
                <w:sz w:val="21"/>
                <w:szCs w:val="21"/>
              </w:rPr>
            </w:pPr>
          </w:p>
        </w:tc>
        <w:tc>
          <w:tcPr>
            <w:tcW w:w="643" w:type="pct"/>
            <w:vMerge w:val="continue"/>
            <w:tcBorders>
              <w:bottom w:val="single" w:color="auto" w:sz="4" w:space="0"/>
            </w:tcBorders>
            <w:vAlign w:val="center"/>
          </w:tcPr>
          <w:p w14:paraId="4E26C733">
            <w:pPr>
              <w:widowControl/>
              <w:snapToGrid w:val="0"/>
              <w:jc w:val="center"/>
              <w:rPr>
                <w:rFonts w:hint="eastAsia" w:ascii="黑体" w:hAnsi="黑体" w:eastAsia="黑体"/>
                <w:bCs/>
                <w:sz w:val="21"/>
                <w:szCs w:val="21"/>
              </w:rPr>
            </w:pPr>
          </w:p>
        </w:tc>
        <w:tc>
          <w:tcPr>
            <w:tcW w:w="688" w:type="pct"/>
            <w:vMerge w:val="continue"/>
            <w:tcBorders>
              <w:bottom w:val="single" w:color="auto" w:sz="4" w:space="0"/>
            </w:tcBorders>
            <w:vAlign w:val="center"/>
          </w:tcPr>
          <w:p w14:paraId="35E7B9C9">
            <w:pPr>
              <w:widowControl/>
              <w:snapToGrid w:val="0"/>
              <w:jc w:val="center"/>
              <w:rPr>
                <w:rFonts w:ascii="黑体" w:hAnsi="黑体" w:eastAsia="黑体"/>
                <w:bCs/>
                <w:sz w:val="21"/>
                <w:szCs w:val="21"/>
              </w:rPr>
            </w:pPr>
          </w:p>
        </w:tc>
      </w:tr>
      <w:tr w14:paraId="200EF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227" w:type="pct"/>
            <w:vAlign w:val="center"/>
          </w:tcPr>
          <w:p w14:paraId="4CBFB4C7">
            <w:pPr>
              <w:widowControl/>
              <w:snapToGrid w:val="0"/>
              <w:ind w:left="0" w:leftChars="0" w:right="0" w:rightChars="0" w:firstLine="0" w:firstLineChars="0"/>
              <w:jc w:val="center"/>
              <w:rPr>
                <w:rFonts w:hint="eastAsia" w:ascii="仿宋_GB2312" w:hAnsi="仿宋_GB2312" w:eastAsia="仿宋_GB2312" w:cs="仿宋_GB2312"/>
                <w:bCs/>
                <w:sz w:val="21"/>
                <w:szCs w:val="21"/>
                <w:lang w:val="en-US" w:eastAsia="zh-CN"/>
              </w:rPr>
            </w:pPr>
            <w:r>
              <w:rPr>
                <w:rFonts w:hint="eastAsia" w:ascii="仿宋_GB2312" w:hAnsi="仿宋_GB2312" w:eastAsia="仿宋_GB2312" w:cs="仿宋_GB2312"/>
                <w:bCs/>
                <w:sz w:val="21"/>
                <w:szCs w:val="21"/>
                <w:lang w:val="en-US" w:eastAsia="zh-CN"/>
              </w:rPr>
              <w:t>数字营销概论</w:t>
            </w:r>
          </w:p>
        </w:tc>
        <w:tc>
          <w:tcPr>
            <w:tcW w:w="360" w:type="pct"/>
            <w:vAlign w:val="center"/>
          </w:tcPr>
          <w:p w14:paraId="07987456">
            <w:pPr>
              <w:widowControl/>
              <w:snapToGrid w:val="0"/>
              <w:ind w:left="0" w:leftChars="0" w:right="0" w:rightChars="0" w:firstLine="0" w:firstLineChars="0"/>
              <w:jc w:val="center"/>
              <w:rPr>
                <w:rFonts w:hint="eastAsia" w:ascii="仿宋_GB2312" w:hAnsi="仿宋_GB2312" w:eastAsia="仿宋_GB2312" w:cs="仿宋_GB2312"/>
                <w:bCs/>
                <w:sz w:val="21"/>
                <w:szCs w:val="21"/>
                <w:lang w:val="en-US" w:eastAsia="zh-CN"/>
              </w:rPr>
            </w:pPr>
            <w:r>
              <w:rPr>
                <w:rFonts w:hint="eastAsia" w:ascii="仿宋_GB2312" w:hAnsi="仿宋_GB2312" w:eastAsia="仿宋_GB2312" w:cs="仿宋_GB2312"/>
                <w:bCs/>
                <w:sz w:val="21"/>
                <w:szCs w:val="21"/>
                <w:lang w:val="en-US" w:eastAsia="zh-CN"/>
              </w:rPr>
              <w:t>2</w:t>
            </w:r>
          </w:p>
        </w:tc>
        <w:tc>
          <w:tcPr>
            <w:tcW w:w="494" w:type="pct"/>
            <w:vAlign w:val="center"/>
          </w:tcPr>
          <w:p w14:paraId="7727E4E1">
            <w:pPr>
              <w:widowControl/>
              <w:snapToGrid w:val="0"/>
              <w:ind w:left="0" w:leftChars="0" w:right="0" w:rightChars="0" w:firstLine="0" w:firstLineChars="0"/>
              <w:jc w:val="center"/>
              <w:rPr>
                <w:rFonts w:hint="default" w:ascii="仿宋_GB2312" w:hAnsi="仿宋_GB2312" w:eastAsia="仿宋_GB2312" w:cs="仿宋_GB2312"/>
                <w:bCs/>
                <w:sz w:val="21"/>
                <w:szCs w:val="21"/>
                <w:lang w:val="en-US" w:eastAsia="zh-CN"/>
              </w:rPr>
            </w:pPr>
            <w:r>
              <w:rPr>
                <w:rFonts w:hint="eastAsia" w:ascii="仿宋_GB2312" w:hAnsi="仿宋_GB2312" w:eastAsia="仿宋_GB2312" w:cs="仿宋_GB2312"/>
                <w:bCs/>
                <w:sz w:val="21"/>
                <w:szCs w:val="21"/>
                <w:lang w:val="en-US" w:eastAsia="zh-CN"/>
              </w:rPr>
              <w:t>36</w:t>
            </w:r>
          </w:p>
        </w:tc>
        <w:tc>
          <w:tcPr>
            <w:tcW w:w="512" w:type="pct"/>
            <w:vAlign w:val="center"/>
          </w:tcPr>
          <w:p w14:paraId="5B13164E">
            <w:pPr>
              <w:widowControl/>
              <w:snapToGrid w:val="0"/>
              <w:ind w:left="0" w:leftChars="0" w:right="0" w:rightChars="0" w:firstLine="0" w:firstLineChars="0"/>
              <w:jc w:val="center"/>
              <w:rPr>
                <w:rFonts w:hint="default" w:ascii="仿宋_GB2312" w:hAnsi="仿宋_GB2312" w:eastAsia="仿宋_GB2312" w:cs="仿宋_GB2312"/>
                <w:bCs/>
                <w:sz w:val="21"/>
                <w:szCs w:val="21"/>
                <w:lang w:val="en-US" w:eastAsia="zh-CN"/>
              </w:rPr>
            </w:pPr>
            <w:r>
              <w:rPr>
                <w:rFonts w:hint="eastAsia" w:ascii="仿宋_GB2312" w:hAnsi="仿宋_GB2312" w:eastAsia="仿宋_GB2312" w:cs="仿宋_GB2312"/>
                <w:bCs/>
                <w:sz w:val="21"/>
                <w:szCs w:val="21"/>
                <w:lang w:val="en-US" w:eastAsia="zh-CN"/>
              </w:rPr>
              <w:t>24</w:t>
            </w:r>
          </w:p>
        </w:tc>
        <w:tc>
          <w:tcPr>
            <w:tcW w:w="437" w:type="pct"/>
            <w:vAlign w:val="center"/>
          </w:tcPr>
          <w:p w14:paraId="028E8BAB">
            <w:pPr>
              <w:widowControl/>
              <w:snapToGrid w:val="0"/>
              <w:ind w:left="0" w:leftChars="0" w:right="0" w:rightChars="0" w:firstLine="0" w:firstLineChars="0"/>
              <w:jc w:val="center"/>
              <w:rPr>
                <w:rFonts w:hint="default" w:ascii="仿宋_GB2312" w:hAnsi="仿宋_GB2312" w:eastAsia="仿宋_GB2312" w:cs="仿宋_GB2312"/>
                <w:bCs/>
                <w:sz w:val="21"/>
                <w:szCs w:val="21"/>
                <w:lang w:val="en-US" w:eastAsia="zh-CN"/>
              </w:rPr>
            </w:pPr>
            <w:r>
              <w:rPr>
                <w:rFonts w:hint="eastAsia" w:ascii="仿宋_GB2312" w:hAnsi="仿宋_GB2312" w:eastAsia="仿宋_GB2312" w:cs="仿宋_GB2312"/>
                <w:bCs/>
                <w:sz w:val="21"/>
                <w:szCs w:val="21"/>
                <w:lang w:val="en-US" w:eastAsia="zh-CN"/>
              </w:rPr>
              <w:t>12</w:t>
            </w:r>
          </w:p>
        </w:tc>
        <w:tc>
          <w:tcPr>
            <w:tcW w:w="636" w:type="pct"/>
            <w:vAlign w:val="center"/>
          </w:tcPr>
          <w:p w14:paraId="1AEFB631">
            <w:pPr>
              <w:widowControl/>
              <w:snapToGrid w:val="0"/>
              <w:ind w:left="0" w:leftChars="0" w:right="0" w:rightChars="0" w:firstLine="0" w:firstLineChars="0"/>
              <w:jc w:val="center"/>
              <w:rPr>
                <w:rFonts w:hint="default" w:ascii="仿宋_GB2312" w:hAnsi="仿宋_GB2312" w:eastAsia="仿宋_GB2312" w:cs="仿宋_GB2312"/>
                <w:bCs/>
                <w:sz w:val="21"/>
                <w:szCs w:val="21"/>
                <w:lang w:val="en-US" w:eastAsia="zh-CN"/>
              </w:rPr>
            </w:pPr>
            <w:r>
              <w:rPr>
                <w:rFonts w:hint="eastAsia" w:ascii="仿宋_GB2312" w:hAnsi="仿宋_GB2312" w:eastAsia="仿宋_GB2312" w:cs="仿宋_GB2312"/>
                <w:bCs/>
                <w:sz w:val="21"/>
                <w:szCs w:val="21"/>
                <w:lang w:val="en-US" w:eastAsia="zh-CN"/>
              </w:rPr>
              <w:t>必修</w:t>
            </w:r>
          </w:p>
        </w:tc>
        <w:tc>
          <w:tcPr>
            <w:tcW w:w="643" w:type="pct"/>
            <w:vAlign w:val="center"/>
          </w:tcPr>
          <w:p w14:paraId="060BE3C4">
            <w:pPr>
              <w:widowControl/>
              <w:snapToGrid w:val="0"/>
              <w:ind w:left="0" w:leftChars="0" w:right="0" w:rightChars="0" w:firstLine="0" w:firstLineChars="0"/>
              <w:jc w:val="center"/>
              <w:rPr>
                <w:rFonts w:hint="eastAsia" w:ascii="仿宋_GB2312" w:hAnsi="仿宋_GB2312" w:eastAsia="仿宋_GB2312" w:cs="仿宋_GB2312"/>
                <w:bCs/>
                <w:sz w:val="21"/>
                <w:szCs w:val="21"/>
                <w:lang w:val="en-US" w:eastAsia="zh-CN"/>
              </w:rPr>
            </w:pPr>
            <w:r>
              <w:rPr>
                <w:rFonts w:hint="eastAsia" w:ascii="仿宋_GB2312" w:hAnsi="仿宋_GB2312" w:eastAsia="仿宋_GB2312" w:cs="仿宋_GB2312"/>
                <w:bCs/>
                <w:sz w:val="21"/>
                <w:szCs w:val="21"/>
                <w:lang w:val="en-US" w:eastAsia="zh-CN"/>
              </w:rPr>
              <w:t>考查</w:t>
            </w:r>
          </w:p>
        </w:tc>
        <w:tc>
          <w:tcPr>
            <w:tcW w:w="688" w:type="pct"/>
            <w:vAlign w:val="center"/>
          </w:tcPr>
          <w:p w14:paraId="45849937">
            <w:pPr>
              <w:widowControl/>
              <w:snapToGrid w:val="0"/>
              <w:ind w:left="0" w:leftChars="0" w:right="0" w:rightChars="0" w:firstLine="0" w:firstLineChars="0"/>
              <w:jc w:val="center"/>
              <w:rPr>
                <w:rFonts w:hint="default" w:ascii="仿宋_GB2312" w:hAnsi="仿宋_GB2312" w:eastAsia="仿宋_GB2312" w:cs="仿宋_GB2312"/>
                <w:bCs/>
                <w:sz w:val="21"/>
                <w:szCs w:val="21"/>
                <w:lang w:val="en-US" w:eastAsia="zh-CN"/>
              </w:rPr>
            </w:pPr>
            <w:r>
              <w:rPr>
                <w:rFonts w:hint="eastAsia" w:ascii="仿宋_GB2312" w:hAnsi="仿宋_GB2312" w:eastAsia="仿宋_GB2312" w:cs="仿宋_GB2312"/>
                <w:bCs/>
                <w:sz w:val="21"/>
                <w:szCs w:val="21"/>
                <w:lang w:val="en-US" w:eastAsia="zh-CN"/>
              </w:rPr>
              <w:t>春季学期</w:t>
            </w:r>
          </w:p>
        </w:tc>
      </w:tr>
      <w:tr w14:paraId="0163E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1227" w:type="pct"/>
            <w:vAlign w:val="center"/>
          </w:tcPr>
          <w:p w14:paraId="36C177CE">
            <w:pPr>
              <w:widowControl/>
              <w:snapToGrid w:val="0"/>
              <w:ind w:left="0" w:leftChars="0" w:right="0" w:rightChars="0" w:firstLine="0" w:firstLineChars="0"/>
              <w:jc w:val="center"/>
              <w:rPr>
                <w:rFonts w:hint="eastAsia" w:ascii="仿宋_GB2312" w:hAnsi="仿宋_GB2312" w:eastAsia="仿宋_GB2312" w:cs="仿宋_GB2312"/>
                <w:bCs/>
                <w:sz w:val="21"/>
                <w:szCs w:val="21"/>
                <w:lang w:val="en-US" w:eastAsia="zh-CN"/>
              </w:rPr>
            </w:pPr>
            <w:r>
              <w:rPr>
                <w:rFonts w:hint="eastAsia" w:ascii="仿宋_GB2312" w:hAnsi="仿宋_GB2312" w:eastAsia="仿宋_GB2312" w:cs="仿宋_GB2312"/>
                <w:bCs/>
                <w:sz w:val="21"/>
                <w:szCs w:val="21"/>
                <w:lang w:val="en-US" w:eastAsia="zh-CN"/>
              </w:rPr>
              <w:t>数字商业管理</w:t>
            </w:r>
          </w:p>
        </w:tc>
        <w:tc>
          <w:tcPr>
            <w:tcW w:w="360" w:type="pct"/>
            <w:vAlign w:val="center"/>
          </w:tcPr>
          <w:p w14:paraId="0BBB6BC8">
            <w:pPr>
              <w:widowControl/>
              <w:snapToGrid w:val="0"/>
              <w:ind w:left="0" w:leftChars="0" w:right="0" w:rightChars="0" w:firstLine="0" w:firstLineChars="0"/>
              <w:jc w:val="center"/>
              <w:rPr>
                <w:rFonts w:hint="eastAsia" w:ascii="仿宋_GB2312" w:hAnsi="仿宋_GB2312" w:eastAsia="仿宋_GB2312" w:cs="仿宋_GB2312"/>
                <w:bCs/>
                <w:sz w:val="21"/>
                <w:szCs w:val="21"/>
                <w:lang w:val="en-US" w:eastAsia="zh-CN"/>
              </w:rPr>
            </w:pPr>
            <w:r>
              <w:rPr>
                <w:rFonts w:hint="eastAsia" w:ascii="仿宋_GB2312" w:hAnsi="仿宋_GB2312" w:eastAsia="仿宋_GB2312" w:cs="仿宋_GB2312"/>
                <w:bCs/>
                <w:sz w:val="21"/>
                <w:szCs w:val="21"/>
                <w:lang w:val="en-US" w:eastAsia="zh-CN"/>
              </w:rPr>
              <w:t>2</w:t>
            </w:r>
          </w:p>
        </w:tc>
        <w:tc>
          <w:tcPr>
            <w:tcW w:w="494" w:type="pct"/>
            <w:vAlign w:val="center"/>
          </w:tcPr>
          <w:p w14:paraId="62356B32">
            <w:pPr>
              <w:widowControl/>
              <w:snapToGrid w:val="0"/>
              <w:ind w:left="0" w:leftChars="0" w:right="0" w:rightChars="0" w:firstLine="0" w:firstLineChars="0"/>
              <w:jc w:val="center"/>
              <w:rPr>
                <w:rFonts w:hint="default" w:ascii="仿宋_GB2312" w:hAnsi="仿宋_GB2312" w:eastAsia="仿宋_GB2312" w:cs="仿宋_GB2312"/>
                <w:bCs/>
                <w:sz w:val="21"/>
                <w:szCs w:val="21"/>
                <w:lang w:val="en-US" w:eastAsia="zh-CN"/>
              </w:rPr>
            </w:pPr>
            <w:r>
              <w:rPr>
                <w:rFonts w:hint="eastAsia" w:ascii="仿宋_GB2312" w:hAnsi="仿宋_GB2312" w:eastAsia="仿宋_GB2312" w:cs="仿宋_GB2312"/>
                <w:bCs/>
                <w:sz w:val="21"/>
                <w:szCs w:val="21"/>
                <w:lang w:val="en-US" w:eastAsia="zh-CN"/>
              </w:rPr>
              <w:t>36</w:t>
            </w:r>
          </w:p>
        </w:tc>
        <w:tc>
          <w:tcPr>
            <w:tcW w:w="512" w:type="pct"/>
            <w:vAlign w:val="center"/>
          </w:tcPr>
          <w:p w14:paraId="01CEBAB9">
            <w:pPr>
              <w:widowControl/>
              <w:snapToGrid w:val="0"/>
              <w:ind w:left="0" w:leftChars="0" w:right="0" w:rightChars="0" w:firstLine="0" w:firstLineChars="0"/>
              <w:jc w:val="center"/>
              <w:rPr>
                <w:rFonts w:hint="default" w:ascii="仿宋_GB2312" w:hAnsi="仿宋_GB2312" w:eastAsia="仿宋_GB2312" w:cs="仿宋_GB2312"/>
                <w:bCs/>
                <w:sz w:val="21"/>
                <w:szCs w:val="21"/>
                <w:lang w:val="en-US" w:eastAsia="zh-CN"/>
              </w:rPr>
            </w:pPr>
            <w:r>
              <w:rPr>
                <w:rFonts w:hint="eastAsia" w:ascii="仿宋_GB2312" w:hAnsi="仿宋_GB2312" w:eastAsia="仿宋_GB2312" w:cs="仿宋_GB2312"/>
                <w:bCs/>
                <w:sz w:val="21"/>
                <w:szCs w:val="21"/>
                <w:lang w:val="en-US" w:eastAsia="zh-CN"/>
              </w:rPr>
              <w:t>12</w:t>
            </w:r>
          </w:p>
        </w:tc>
        <w:tc>
          <w:tcPr>
            <w:tcW w:w="437" w:type="pct"/>
            <w:vAlign w:val="center"/>
          </w:tcPr>
          <w:p w14:paraId="67DB9589">
            <w:pPr>
              <w:widowControl/>
              <w:snapToGrid w:val="0"/>
              <w:ind w:left="0" w:leftChars="0" w:right="0" w:rightChars="0" w:firstLine="0" w:firstLineChars="0"/>
              <w:jc w:val="center"/>
              <w:rPr>
                <w:rFonts w:hint="default" w:ascii="仿宋_GB2312" w:hAnsi="仿宋_GB2312" w:eastAsia="仿宋_GB2312" w:cs="仿宋_GB2312"/>
                <w:bCs/>
                <w:sz w:val="21"/>
                <w:szCs w:val="21"/>
                <w:lang w:val="en-US" w:eastAsia="zh-CN"/>
              </w:rPr>
            </w:pPr>
            <w:r>
              <w:rPr>
                <w:rFonts w:hint="eastAsia" w:ascii="仿宋_GB2312" w:hAnsi="仿宋_GB2312" w:eastAsia="仿宋_GB2312" w:cs="仿宋_GB2312"/>
                <w:bCs/>
                <w:sz w:val="21"/>
                <w:szCs w:val="21"/>
                <w:lang w:val="en-US" w:eastAsia="zh-CN"/>
              </w:rPr>
              <w:t>24</w:t>
            </w:r>
          </w:p>
        </w:tc>
        <w:tc>
          <w:tcPr>
            <w:tcW w:w="636" w:type="pct"/>
            <w:shd w:val="clear" w:color="auto" w:fill="auto"/>
            <w:vAlign w:val="center"/>
          </w:tcPr>
          <w:p w14:paraId="5C6B98F8">
            <w:pPr>
              <w:widowControl/>
              <w:snapToGrid w:val="0"/>
              <w:ind w:left="0" w:leftChars="0" w:right="0" w:rightChars="0" w:firstLine="0" w:firstLineChars="0"/>
              <w:jc w:val="center"/>
              <w:rPr>
                <w:rFonts w:hint="eastAsia" w:ascii="仿宋_GB2312" w:hAnsi="仿宋_GB2312" w:eastAsia="仿宋_GB2312" w:cs="仿宋_GB2312"/>
                <w:bCs/>
                <w:sz w:val="21"/>
                <w:szCs w:val="21"/>
                <w:lang w:val="en-US" w:eastAsia="zh-CN"/>
              </w:rPr>
            </w:pPr>
            <w:r>
              <w:rPr>
                <w:rFonts w:hint="eastAsia" w:ascii="仿宋_GB2312" w:hAnsi="仿宋_GB2312" w:eastAsia="仿宋_GB2312" w:cs="仿宋_GB2312"/>
                <w:bCs/>
                <w:sz w:val="21"/>
                <w:szCs w:val="21"/>
                <w:lang w:val="en-US" w:eastAsia="zh-CN"/>
              </w:rPr>
              <w:t>必修</w:t>
            </w:r>
          </w:p>
        </w:tc>
        <w:tc>
          <w:tcPr>
            <w:tcW w:w="643" w:type="pct"/>
            <w:shd w:val="clear" w:color="auto" w:fill="auto"/>
            <w:vAlign w:val="center"/>
          </w:tcPr>
          <w:p w14:paraId="04825839">
            <w:pPr>
              <w:widowControl/>
              <w:snapToGrid w:val="0"/>
              <w:ind w:left="0" w:leftChars="0" w:right="0" w:rightChars="0" w:firstLine="0" w:firstLineChars="0"/>
              <w:jc w:val="center"/>
              <w:rPr>
                <w:rFonts w:hint="eastAsia" w:ascii="仿宋_GB2312" w:hAnsi="仿宋_GB2312" w:eastAsia="仿宋_GB2312" w:cs="仿宋_GB2312"/>
                <w:bCs/>
                <w:sz w:val="21"/>
                <w:szCs w:val="21"/>
                <w:lang w:val="en-US" w:eastAsia="zh-CN"/>
              </w:rPr>
            </w:pPr>
            <w:r>
              <w:rPr>
                <w:rFonts w:hint="eastAsia" w:ascii="仿宋_GB2312" w:hAnsi="仿宋_GB2312" w:eastAsia="仿宋_GB2312" w:cs="仿宋_GB2312"/>
                <w:bCs/>
                <w:sz w:val="21"/>
                <w:szCs w:val="21"/>
                <w:lang w:val="en-US" w:eastAsia="zh-CN"/>
              </w:rPr>
              <w:t>考查</w:t>
            </w:r>
          </w:p>
        </w:tc>
        <w:tc>
          <w:tcPr>
            <w:tcW w:w="688" w:type="pct"/>
            <w:vAlign w:val="center"/>
          </w:tcPr>
          <w:p w14:paraId="4F1D0565">
            <w:pPr>
              <w:widowControl/>
              <w:snapToGrid w:val="0"/>
              <w:ind w:left="0" w:leftChars="0" w:right="0" w:rightChars="0" w:firstLine="0" w:firstLineChars="0"/>
              <w:jc w:val="center"/>
              <w:rPr>
                <w:rFonts w:hint="eastAsia" w:ascii="仿宋_GB2312" w:hAnsi="仿宋_GB2312" w:eastAsia="仿宋_GB2312" w:cs="仿宋_GB2312"/>
                <w:bCs/>
                <w:sz w:val="21"/>
                <w:szCs w:val="21"/>
                <w:lang w:val="en-US" w:eastAsia="zh-CN"/>
              </w:rPr>
            </w:pPr>
            <w:r>
              <w:rPr>
                <w:rFonts w:hint="eastAsia" w:ascii="仿宋_GB2312" w:hAnsi="仿宋_GB2312" w:eastAsia="仿宋_GB2312" w:cs="仿宋_GB2312"/>
                <w:bCs/>
                <w:sz w:val="21"/>
                <w:szCs w:val="21"/>
                <w:lang w:val="en-US" w:eastAsia="zh-CN"/>
              </w:rPr>
              <w:t>春季学期</w:t>
            </w:r>
          </w:p>
        </w:tc>
      </w:tr>
      <w:tr w14:paraId="66125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227" w:type="pct"/>
            <w:vAlign w:val="center"/>
          </w:tcPr>
          <w:p w14:paraId="4A8046B5">
            <w:pPr>
              <w:widowControl/>
              <w:snapToGrid w:val="0"/>
              <w:ind w:left="0" w:leftChars="0" w:right="0" w:rightChars="0" w:firstLine="0" w:firstLineChars="0"/>
              <w:jc w:val="center"/>
              <w:rPr>
                <w:rFonts w:hint="eastAsia" w:ascii="仿宋_GB2312" w:hAnsi="仿宋_GB2312" w:eastAsia="仿宋_GB2312" w:cs="仿宋_GB2312"/>
                <w:bCs/>
                <w:sz w:val="21"/>
                <w:szCs w:val="21"/>
                <w:lang w:val="en-US" w:eastAsia="zh-CN"/>
              </w:rPr>
            </w:pPr>
            <w:r>
              <w:rPr>
                <w:rFonts w:hint="eastAsia" w:ascii="仿宋_GB2312" w:hAnsi="仿宋_GB2312" w:eastAsia="仿宋_GB2312" w:cs="仿宋_GB2312"/>
                <w:bCs/>
                <w:sz w:val="21"/>
                <w:szCs w:val="21"/>
                <w:lang w:val="en-US" w:eastAsia="zh-CN"/>
              </w:rPr>
              <w:t>数字消费者行为学</w:t>
            </w:r>
          </w:p>
        </w:tc>
        <w:tc>
          <w:tcPr>
            <w:tcW w:w="360" w:type="pct"/>
            <w:vAlign w:val="center"/>
          </w:tcPr>
          <w:p w14:paraId="61D046F8">
            <w:pPr>
              <w:widowControl/>
              <w:snapToGrid w:val="0"/>
              <w:ind w:left="0" w:leftChars="0" w:right="0" w:rightChars="0" w:firstLine="0" w:firstLineChars="0"/>
              <w:jc w:val="center"/>
              <w:rPr>
                <w:rFonts w:hint="eastAsia" w:ascii="仿宋_GB2312" w:hAnsi="仿宋_GB2312" w:eastAsia="仿宋_GB2312" w:cs="仿宋_GB2312"/>
                <w:bCs/>
                <w:sz w:val="21"/>
                <w:szCs w:val="21"/>
                <w:lang w:val="en-US" w:eastAsia="zh-CN"/>
              </w:rPr>
            </w:pPr>
            <w:r>
              <w:rPr>
                <w:rFonts w:hint="eastAsia" w:ascii="仿宋_GB2312" w:hAnsi="仿宋_GB2312" w:eastAsia="仿宋_GB2312" w:cs="仿宋_GB2312"/>
                <w:bCs/>
                <w:sz w:val="21"/>
                <w:szCs w:val="21"/>
                <w:lang w:val="en-US" w:eastAsia="zh-CN"/>
              </w:rPr>
              <w:t>2</w:t>
            </w:r>
          </w:p>
        </w:tc>
        <w:tc>
          <w:tcPr>
            <w:tcW w:w="494" w:type="pct"/>
            <w:vAlign w:val="center"/>
          </w:tcPr>
          <w:p w14:paraId="3156874F">
            <w:pPr>
              <w:widowControl/>
              <w:snapToGrid w:val="0"/>
              <w:ind w:left="0" w:leftChars="0" w:right="0" w:rightChars="0" w:firstLine="0" w:firstLineChars="0"/>
              <w:jc w:val="center"/>
              <w:rPr>
                <w:rFonts w:hint="eastAsia" w:ascii="仿宋_GB2312" w:hAnsi="仿宋_GB2312" w:eastAsia="仿宋_GB2312" w:cs="仿宋_GB2312"/>
                <w:bCs/>
                <w:sz w:val="21"/>
                <w:szCs w:val="21"/>
                <w:lang w:val="en-US" w:eastAsia="zh-CN"/>
              </w:rPr>
            </w:pPr>
            <w:r>
              <w:rPr>
                <w:rFonts w:hint="eastAsia" w:ascii="仿宋_GB2312" w:hAnsi="仿宋_GB2312" w:eastAsia="仿宋_GB2312" w:cs="仿宋_GB2312"/>
                <w:bCs/>
                <w:sz w:val="21"/>
                <w:szCs w:val="21"/>
                <w:lang w:val="en-US" w:eastAsia="zh-CN"/>
              </w:rPr>
              <w:t>36</w:t>
            </w:r>
          </w:p>
        </w:tc>
        <w:tc>
          <w:tcPr>
            <w:tcW w:w="512" w:type="pct"/>
            <w:vAlign w:val="center"/>
          </w:tcPr>
          <w:p w14:paraId="41E5FECC">
            <w:pPr>
              <w:widowControl/>
              <w:snapToGrid w:val="0"/>
              <w:ind w:left="0" w:leftChars="0" w:right="0" w:rightChars="0" w:firstLine="0" w:firstLineChars="0"/>
              <w:jc w:val="center"/>
              <w:rPr>
                <w:rFonts w:hint="eastAsia" w:ascii="仿宋_GB2312" w:hAnsi="仿宋_GB2312" w:eastAsia="仿宋_GB2312" w:cs="仿宋_GB2312"/>
                <w:bCs/>
                <w:sz w:val="21"/>
                <w:szCs w:val="21"/>
                <w:lang w:val="en-US" w:eastAsia="zh-CN"/>
              </w:rPr>
            </w:pPr>
            <w:r>
              <w:rPr>
                <w:rFonts w:hint="eastAsia" w:ascii="仿宋_GB2312" w:hAnsi="仿宋_GB2312" w:eastAsia="仿宋_GB2312" w:cs="仿宋_GB2312"/>
                <w:bCs/>
                <w:sz w:val="21"/>
                <w:szCs w:val="21"/>
                <w:lang w:val="en-US" w:eastAsia="zh-CN"/>
              </w:rPr>
              <w:t>12</w:t>
            </w:r>
          </w:p>
        </w:tc>
        <w:tc>
          <w:tcPr>
            <w:tcW w:w="437" w:type="pct"/>
            <w:vAlign w:val="center"/>
          </w:tcPr>
          <w:p w14:paraId="1AD269D3">
            <w:pPr>
              <w:widowControl/>
              <w:snapToGrid w:val="0"/>
              <w:ind w:left="0" w:leftChars="0" w:right="0" w:rightChars="0" w:firstLine="0" w:firstLineChars="0"/>
              <w:jc w:val="center"/>
              <w:rPr>
                <w:rFonts w:hint="eastAsia" w:ascii="仿宋_GB2312" w:hAnsi="仿宋_GB2312" w:eastAsia="仿宋_GB2312" w:cs="仿宋_GB2312"/>
                <w:bCs/>
                <w:sz w:val="21"/>
                <w:szCs w:val="21"/>
                <w:lang w:val="en-US" w:eastAsia="zh-CN"/>
              </w:rPr>
            </w:pPr>
            <w:r>
              <w:rPr>
                <w:rFonts w:hint="eastAsia" w:ascii="仿宋_GB2312" w:hAnsi="仿宋_GB2312" w:eastAsia="仿宋_GB2312" w:cs="仿宋_GB2312"/>
                <w:bCs/>
                <w:sz w:val="21"/>
                <w:szCs w:val="21"/>
                <w:lang w:val="en-US" w:eastAsia="zh-CN"/>
              </w:rPr>
              <w:t>24</w:t>
            </w:r>
          </w:p>
        </w:tc>
        <w:tc>
          <w:tcPr>
            <w:tcW w:w="636" w:type="pct"/>
            <w:shd w:val="clear" w:color="auto" w:fill="auto"/>
            <w:vAlign w:val="center"/>
          </w:tcPr>
          <w:p w14:paraId="3F6970FE">
            <w:pPr>
              <w:widowControl/>
              <w:snapToGrid w:val="0"/>
              <w:ind w:left="0" w:leftChars="0" w:right="0" w:rightChars="0" w:firstLine="0" w:firstLineChars="0"/>
              <w:jc w:val="center"/>
              <w:rPr>
                <w:rFonts w:hint="eastAsia" w:ascii="仿宋_GB2312" w:hAnsi="仿宋_GB2312" w:eastAsia="仿宋_GB2312" w:cs="仿宋_GB2312"/>
                <w:bCs/>
                <w:sz w:val="21"/>
                <w:szCs w:val="21"/>
                <w:lang w:val="en-US" w:eastAsia="zh-CN"/>
              </w:rPr>
            </w:pPr>
            <w:r>
              <w:rPr>
                <w:rFonts w:hint="eastAsia" w:ascii="仿宋_GB2312" w:hAnsi="仿宋_GB2312" w:eastAsia="仿宋_GB2312" w:cs="仿宋_GB2312"/>
                <w:bCs/>
                <w:sz w:val="21"/>
                <w:szCs w:val="21"/>
                <w:lang w:val="en-US" w:eastAsia="zh-CN"/>
              </w:rPr>
              <w:t>必修</w:t>
            </w:r>
          </w:p>
        </w:tc>
        <w:tc>
          <w:tcPr>
            <w:tcW w:w="643" w:type="pct"/>
            <w:shd w:val="clear" w:color="auto" w:fill="auto"/>
            <w:vAlign w:val="center"/>
          </w:tcPr>
          <w:p w14:paraId="2F3BCA07">
            <w:pPr>
              <w:widowControl/>
              <w:snapToGrid w:val="0"/>
              <w:ind w:left="0" w:leftChars="0" w:right="0" w:rightChars="0" w:firstLine="0" w:firstLineChars="0"/>
              <w:jc w:val="center"/>
              <w:rPr>
                <w:rFonts w:hint="eastAsia" w:ascii="仿宋_GB2312" w:hAnsi="仿宋_GB2312" w:eastAsia="仿宋_GB2312" w:cs="仿宋_GB2312"/>
                <w:bCs/>
                <w:sz w:val="21"/>
                <w:szCs w:val="21"/>
                <w:lang w:val="en-US" w:eastAsia="zh-CN"/>
              </w:rPr>
            </w:pPr>
            <w:r>
              <w:rPr>
                <w:rFonts w:hint="eastAsia" w:ascii="仿宋_GB2312" w:hAnsi="仿宋_GB2312" w:eastAsia="仿宋_GB2312" w:cs="仿宋_GB2312"/>
                <w:bCs/>
                <w:sz w:val="21"/>
                <w:szCs w:val="21"/>
                <w:lang w:val="en-US" w:eastAsia="zh-CN"/>
              </w:rPr>
              <w:t>考查</w:t>
            </w:r>
          </w:p>
        </w:tc>
        <w:tc>
          <w:tcPr>
            <w:tcW w:w="688" w:type="pct"/>
            <w:vAlign w:val="center"/>
          </w:tcPr>
          <w:p w14:paraId="5A936E9D">
            <w:pPr>
              <w:widowControl/>
              <w:snapToGrid w:val="0"/>
              <w:ind w:left="0" w:leftChars="0" w:right="0" w:rightChars="0" w:firstLine="0" w:firstLineChars="0"/>
              <w:jc w:val="center"/>
              <w:rPr>
                <w:rFonts w:hint="default" w:ascii="仿宋_GB2312" w:hAnsi="仿宋_GB2312" w:eastAsia="仿宋_GB2312" w:cs="仿宋_GB2312"/>
                <w:bCs/>
                <w:sz w:val="21"/>
                <w:szCs w:val="21"/>
                <w:lang w:val="en-US" w:eastAsia="zh-CN"/>
              </w:rPr>
            </w:pPr>
            <w:r>
              <w:rPr>
                <w:rFonts w:hint="eastAsia" w:ascii="仿宋_GB2312" w:hAnsi="仿宋_GB2312" w:eastAsia="仿宋_GB2312" w:cs="仿宋_GB2312"/>
                <w:bCs/>
                <w:sz w:val="21"/>
                <w:szCs w:val="21"/>
                <w:lang w:val="en-US" w:eastAsia="zh-CN"/>
              </w:rPr>
              <w:t>春季学期</w:t>
            </w:r>
          </w:p>
        </w:tc>
      </w:tr>
      <w:tr w14:paraId="65536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1227" w:type="pct"/>
            <w:vAlign w:val="center"/>
          </w:tcPr>
          <w:p w14:paraId="6365DFEF">
            <w:pPr>
              <w:widowControl/>
              <w:snapToGrid w:val="0"/>
              <w:ind w:left="0" w:leftChars="0" w:right="0" w:rightChars="0" w:firstLine="0" w:firstLineChars="0"/>
              <w:jc w:val="center"/>
              <w:rPr>
                <w:rFonts w:hint="eastAsia" w:ascii="仿宋_GB2312" w:hAnsi="仿宋_GB2312" w:eastAsia="仿宋_GB2312" w:cs="仿宋_GB2312"/>
                <w:bCs/>
                <w:sz w:val="21"/>
                <w:szCs w:val="21"/>
                <w:lang w:val="en-US" w:eastAsia="zh-CN"/>
              </w:rPr>
            </w:pPr>
            <w:r>
              <w:rPr>
                <w:rFonts w:hint="eastAsia" w:ascii="仿宋_GB2312" w:hAnsi="仿宋_GB2312" w:eastAsia="仿宋_GB2312" w:cs="仿宋_GB2312"/>
                <w:bCs/>
                <w:sz w:val="21"/>
                <w:szCs w:val="21"/>
                <w:lang w:val="en-US" w:eastAsia="zh-CN"/>
              </w:rPr>
              <w:t>商务数据分析</w:t>
            </w:r>
          </w:p>
        </w:tc>
        <w:tc>
          <w:tcPr>
            <w:tcW w:w="360" w:type="pct"/>
            <w:vAlign w:val="center"/>
          </w:tcPr>
          <w:p w14:paraId="29A0261A">
            <w:pPr>
              <w:widowControl/>
              <w:snapToGrid w:val="0"/>
              <w:ind w:left="0" w:leftChars="0" w:right="0" w:rightChars="0" w:firstLine="0" w:firstLineChars="0"/>
              <w:jc w:val="center"/>
              <w:rPr>
                <w:rFonts w:hint="eastAsia" w:ascii="仿宋_GB2312" w:hAnsi="仿宋_GB2312" w:eastAsia="仿宋_GB2312" w:cs="仿宋_GB2312"/>
                <w:bCs/>
                <w:sz w:val="21"/>
                <w:szCs w:val="21"/>
                <w:lang w:val="en-US" w:eastAsia="zh-CN"/>
              </w:rPr>
            </w:pPr>
            <w:r>
              <w:rPr>
                <w:rFonts w:hint="eastAsia" w:ascii="仿宋_GB2312" w:hAnsi="仿宋_GB2312" w:eastAsia="仿宋_GB2312" w:cs="仿宋_GB2312"/>
                <w:bCs/>
                <w:sz w:val="21"/>
                <w:szCs w:val="21"/>
                <w:lang w:val="en-US" w:eastAsia="zh-CN"/>
              </w:rPr>
              <w:t>2</w:t>
            </w:r>
          </w:p>
        </w:tc>
        <w:tc>
          <w:tcPr>
            <w:tcW w:w="494" w:type="pct"/>
            <w:vAlign w:val="center"/>
          </w:tcPr>
          <w:p w14:paraId="5F70DB9E">
            <w:pPr>
              <w:widowControl/>
              <w:snapToGrid w:val="0"/>
              <w:ind w:left="0" w:leftChars="0" w:right="0" w:rightChars="0" w:firstLine="0" w:firstLineChars="0"/>
              <w:jc w:val="center"/>
              <w:rPr>
                <w:rFonts w:hint="eastAsia" w:ascii="仿宋_GB2312" w:hAnsi="仿宋_GB2312" w:eastAsia="仿宋_GB2312" w:cs="仿宋_GB2312"/>
                <w:bCs/>
                <w:sz w:val="21"/>
                <w:szCs w:val="21"/>
                <w:lang w:val="en-US" w:eastAsia="zh-CN"/>
              </w:rPr>
            </w:pPr>
            <w:r>
              <w:rPr>
                <w:rFonts w:hint="eastAsia" w:ascii="仿宋_GB2312" w:hAnsi="仿宋_GB2312" w:eastAsia="仿宋_GB2312" w:cs="仿宋_GB2312"/>
                <w:bCs/>
                <w:sz w:val="21"/>
                <w:szCs w:val="21"/>
                <w:lang w:val="en-US" w:eastAsia="zh-CN"/>
              </w:rPr>
              <w:t>36</w:t>
            </w:r>
          </w:p>
        </w:tc>
        <w:tc>
          <w:tcPr>
            <w:tcW w:w="512" w:type="pct"/>
            <w:vAlign w:val="center"/>
          </w:tcPr>
          <w:p w14:paraId="48812CB0">
            <w:pPr>
              <w:widowControl/>
              <w:snapToGrid w:val="0"/>
              <w:ind w:left="0" w:leftChars="0" w:right="0" w:rightChars="0" w:firstLine="0" w:firstLineChars="0"/>
              <w:jc w:val="center"/>
              <w:rPr>
                <w:rFonts w:hint="eastAsia" w:ascii="仿宋_GB2312" w:hAnsi="仿宋_GB2312" w:eastAsia="仿宋_GB2312" w:cs="仿宋_GB2312"/>
                <w:bCs/>
                <w:sz w:val="21"/>
                <w:szCs w:val="21"/>
                <w:lang w:val="en-US" w:eastAsia="zh-CN"/>
              </w:rPr>
            </w:pPr>
            <w:r>
              <w:rPr>
                <w:rFonts w:hint="eastAsia" w:ascii="仿宋_GB2312" w:hAnsi="仿宋_GB2312" w:eastAsia="仿宋_GB2312" w:cs="仿宋_GB2312"/>
                <w:bCs/>
                <w:sz w:val="21"/>
                <w:szCs w:val="21"/>
                <w:lang w:val="en-US" w:eastAsia="zh-CN"/>
              </w:rPr>
              <w:t>12</w:t>
            </w:r>
          </w:p>
        </w:tc>
        <w:tc>
          <w:tcPr>
            <w:tcW w:w="437" w:type="pct"/>
            <w:vAlign w:val="center"/>
          </w:tcPr>
          <w:p w14:paraId="7AAB0154">
            <w:pPr>
              <w:widowControl/>
              <w:snapToGrid w:val="0"/>
              <w:ind w:left="0" w:leftChars="0" w:right="0" w:rightChars="0" w:firstLine="0" w:firstLineChars="0"/>
              <w:jc w:val="center"/>
              <w:rPr>
                <w:rFonts w:hint="eastAsia" w:ascii="仿宋_GB2312" w:hAnsi="仿宋_GB2312" w:eastAsia="仿宋_GB2312" w:cs="仿宋_GB2312"/>
                <w:bCs/>
                <w:sz w:val="21"/>
                <w:szCs w:val="21"/>
                <w:lang w:val="en-US" w:eastAsia="zh-CN"/>
              </w:rPr>
            </w:pPr>
            <w:r>
              <w:rPr>
                <w:rFonts w:hint="eastAsia" w:ascii="仿宋_GB2312" w:hAnsi="仿宋_GB2312" w:eastAsia="仿宋_GB2312" w:cs="仿宋_GB2312"/>
                <w:bCs/>
                <w:sz w:val="21"/>
                <w:szCs w:val="21"/>
                <w:lang w:val="en-US" w:eastAsia="zh-CN"/>
              </w:rPr>
              <w:t>24</w:t>
            </w:r>
          </w:p>
        </w:tc>
        <w:tc>
          <w:tcPr>
            <w:tcW w:w="636" w:type="pct"/>
            <w:shd w:val="clear" w:color="auto" w:fill="auto"/>
            <w:vAlign w:val="center"/>
          </w:tcPr>
          <w:p w14:paraId="362625F3">
            <w:pPr>
              <w:widowControl/>
              <w:snapToGrid w:val="0"/>
              <w:ind w:left="0" w:leftChars="0" w:right="0" w:rightChars="0" w:firstLine="0" w:firstLineChars="0"/>
              <w:jc w:val="center"/>
              <w:rPr>
                <w:rFonts w:hint="eastAsia" w:ascii="仿宋_GB2312" w:hAnsi="仿宋_GB2312" w:eastAsia="仿宋_GB2312" w:cs="仿宋_GB2312"/>
                <w:bCs/>
                <w:sz w:val="21"/>
                <w:szCs w:val="21"/>
                <w:lang w:val="en-US" w:eastAsia="zh-CN"/>
              </w:rPr>
            </w:pPr>
            <w:r>
              <w:rPr>
                <w:rFonts w:hint="eastAsia" w:ascii="仿宋_GB2312" w:hAnsi="仿宋_GB2312" w:eastAsia="仿宋_GB2312" w:cs="仿宋_GB2312"/>
                <w:bCs/>
                <w:sz w:val="21"/>
                <w:szCs w:val="21"/>
                <w:lang w:val="en-US" w:eastAsia="zh-CN"/>
              </w:rPr>
              <w:t>必修</w:t>
            </w:r>
          </w:p>
        </w:tc>
        <w:tc>
          <w:tcPr>
            <w:tcW w:w="643" w:type="pct"/>
            <w:shd w:val="clear" w:color="auto" w:fill="auto"/>
            <w:vAlign w:val="center"/>
          </w:tcPr>
          <w:p w14:paraId="72E78AAE">
            <w:pPr>
              <w:widowControl/>
              <w:snapToGrid w:val="0"/>
              <w:ind w:left="0" w:leftChars="0" w:right="0" w:rightChars="0" w:firstLine="0" w:firstLineChars="0"/>
              <w:jc w:val="center"/>
              <w:rPr>
                <w:rFonts w:hint="eastAsia" w:ascii="仿宋_GB2312" w:hAnsi="仿宋_GB2312" w:eastAsia="仿宋_GB2312" w:cs="仿宋_GB2312"/>
                <w:bCs/>
                <w:sz w:val="21"/>
                <w:szCs w:val="21"/>
                <w:lang w:val="en-US" w:eastAsia="zh-CN"/>
              </w:rPr>
            </w:pPr>
            <w:r>
              <w:rPr>
                <w:rFonts w:hint="eastAsia" w:ascii="仿宋_GB2312" w:hAnsi="仿宋_GB2312" w:eastAsia="仿宋_GB2312" w:cs="仿宋_GB2312"/>
                <w:bCs/>
                <w:sz w:val="21"/>
                <w:szCs w:val="21"/>
                <w:lang w:val="en-US" w:eastAsia="zh-CN"/>
              </w:rPr>
              <w:t>考查</w:t>
            </w:r>
          </w:p>
        </w:tc>
        <w:tc>
          <w:tcPr>
            <w:tcW w:w="688" w:type="pct"/>
            <w:vAlign w:val="center"/>
          </w:tcPr>
          <w:p w14:paraId="1F5D808B">
            <w:pPr>
              <w:widowControl/>
              <w:snapToGrid w:val="0"/>
              <w:ind w:left="0" w:leftChars="0" w:right="0" w:rightChars="0" w:firstLine="0" w:firstLineChars="0"/>
              <w:jc w:val="center"/>
              <w:rPr>
                <w:rFonts w:hint="eastAsia" w:ascii="仿宋_GB2312" w:hAnsi="仿宋_GB2312" w:eastAsia="仿宋_GB2312" w:cs="仿宋_GB2312"/>
                <w:bCs/>
                <w:sz w:val="21"/>
                <w:szCs w:val="21"/>
                <w:lang w:val="en-US" w:eastAsia="zh-CN"/>
              </w:rPr>
            </w:pPr>
            <w:r>
              <w:rPr>
                <w:rFonts w:hint="eastAsia" w:ascii="仿宋_GB2312" w:hAnsi="仿宋_GB2312" w:eastAsia="仿宋_GB2312" w:cs="仿宋_GB2312"/>
                <w:bCs/>
                <w:sz w:val="21"/>
                <w:szCs w:val="21"/>
                <w:lang w:val="en-US" w:eastAsia="zh-CN"/>
              </w:rPr>
              <w:t>秋季学期</w:t>
            </w:r>
          </w:p>
        </w:tc>
      </w:tr>
      <w:tr w14:paraId="00340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1227" w:type="pct"/>
            <w:vAlign w:val="center"/>
          </w:tcPr>
          <w:p w14:paraId="008911AB">
            <w:pPr>
              <w:widowControl/>
              <w:snapToGrid w:val="0"/>
              <w:ind w:left="0" w:leftChars="0" w:right="0" w:rightChars="0" w:firstLine="0" w:firstLineChars="0"/>
              <w:jc w:val="center"/>
              <w:rPr>
                <w:rFonts w:hint="eastAsia" w:ascii="仿宋_GB2312" w:hAnsi="仿宋_GB2312" w:eastAsia="仿宋_GB2312" w:cs="仿宋_GB2312"/>
                <w:bCs/>
                <w:sz w:val="21"/>
                <w:szCs w:val="21"/>
                <w:lang w:val="en-US" w:eastAsia="zh-CN"/>
              </w:rPr>
            </w:pPr>
            <w:r>
              <w:rPr>
                <w:rFonts w:hint="eastAsia" w:ascii="仿宋_GB2312" w:hAnsi="仿宋_GB2312" w:eastAsia="仿宋_GB2312" w:cs="仿宋_GB2312"/>
                <w:bCs/>
                <w:sz w:val="21"/>
                <w:szCs w:val="21"/>
                <w:lang w:val="en-US" w:eastAsia="zh-CN"/>
              </w:rPr>
              <w:t>数字化</w:t>
            </w:r>
            <w:r>
              <w:rPr>
                <w:rFonts w:hint="default" w:ascii="仿宋_GB2312" w:hAnsi="仿宋_GB2312" w:eastAsia="仿宋_GB2312" w:cs="仿宋_GB2312"/>
                <w:bCs/>
                <w:sz w:val="21"/>
                <w:szCs w:val="21"/>
                <w:lang w:val="en-US" w:eastAsia="zh-CN"/>
              </w:rPr>
              <w:t>市场</w:t>
            </w:r>
            <w:r>
              <w:rPr>
                <w:rFonts w:hint="eastAsia" w:ascii="仿宋_GB2312" w:hAnsi="仿宋_GB2312" w:eastAsia="仿宋_GB2312" w:cs="仿宋_GB2312"/>
                <w:bCs/>
                <w:sz w:val="21"/>
                <w:szCs w:val="21"/>
                <w:lang w:val="en-US" w:eastAsia="zh-CN"/>
              </w:rPr>
              <w:t>调研</w:t>
            </w:r>
          </w:p>
        </w:tc>
        <w:tc>
          <w:tcPr>
            <w:tcW w:w="360" w:type="pct"/>
            <w:vAlign w:val="center"/>
          </w:tcPr>
          <w:p w14:paraId="12361B79">
            <w:pPr>
              <w:widowControl/>
              <w:snapToGrid w:val="0"/>
              <w:ind w:left="0" w:leftChars="0" w:right="0" w:rightChars="0" w:firstLine="0" w:firstLineChars="0"/>
              <w:jc w:val="center"/>
              <w:rPr>
                <w:rFonts w:hint="eastAsia" w:ascii="仿宋_GB2312" w:hAnsi="仿宋_GB2312" w:eastAsia="仿宋_GB2312" w:cs="仿宋_GB2312"/>
                <w:bCs/>
                <w:sz w:val="21"/>
                <w:szCs w:val="21"/>
                <w:lang w:val="en-US" w:eastAsia="zh-CN"/>
              </w:rPr>
            </w:pPr>
            <w:r>
              <w:rPr>
                <w:rFonts w:hint="eastAsia" w:ascii="仿宋_GB2312" w:hAnsi="仿宋_GB2312" w:eastAsia="仿宋_GB2312" w:cs="仿宋_GB2312"/>
                <w:bCs/>
                <w:sz w:val="21"/>
                <w:szCs w:val="21"/>
                <w:lang w:val="en-US" w:eastAsia="zh-CN"/>
              </w:rPr>
              <w:t>2</w:t>
            </w:r>
          </w:p>
        </w:tc>
        <w:tc>
          <w:tcPr>
            <w:tcW w:w="494" w:type="pct"/>
            <w:vAlign w:val="center"/>
          </w:tcPr>
          <w:p w14:paraId="62E9A63F">
            <w:pPr>
              <w:widowControl/>
              <w:snapToGrid w:val="0"/>
              <w:ind w:left="0" w:leftChars="0" w:right="0" w:rightChars="0" w:firstLine="0" w:firstLineChars="0"/>
              <w:jc w:val="center"/>
              <w:rPr>
                <w:rFonts w:hint="eastAsia" w:ascii="仿宋_GB2312" w:hAnsi="仿宋_GB2312" w:eastAsia="仿宋_GB2312" w:cs="仿宋_GB2312"/>
                <w:bCs/>
                <w:sz w:val="21"/>
                <w:szCs w:val="21"/>
                <w:lang w:val="en-US" w:eastAsia="zh-CN"/>
              </w:rPr>
            </w:pPr>
            <w:r>
              <w:rPr>
                <w:rFonts w:hint="eastAsia" w:ascii="仿宋_GB2312" w:hAnsi="仿宋_GB2312" w:eastAsia="仿宋_GB2312" w:cs="仿宋_GB2312"/>
                <w:bCs/>
                <w:sz w:val="21"/>
                <w:szCs w:val="21"/>
                <w:lang w:val="en-US" w:eastAsia="zh-CN"/>
              </w:rPr>
              <w:t>36</w:t>
            </w:r>
          </w:p>
        </w:tc>
        <w:tc>
          <w:tcPr>
            <w:tcW w:w="512" w:type="pct"/>
            <w:vAlign w:val="center"/>
          </w:tcPr>
          <w:p w14:paraId="4AD89E69">
            <w:pPr>
              <w:widowControl/>
              <w:snapToGrid w:val="0"/>
              <w:ind w:left="0" w:leftChars="0" w:right="0" w:rightChars="0" w:firstLine="0" w:firstLineChars="0"/>
              <w:jc w:val="center"/>
              <w:rPr>
                <w:rFonts w:hint="eastAsia" w:ascii="仿宋_GB2312" w:hAnsi="仿宋_GB2312" w:eastAsia="仿宋_GB2312" w:cs="仿宋_GB2312"/>
                <w:bCs/>
                <w:sz w:val="21"/>
                <w:szCs w:val="21"/>
                <w:lang w:val="en-US" w:eastAsia="zh-CN"/>
              </w:rPr>
            </w:pPr>
            <w:r>
              <w:rPr>
                <w:rFonts w:hint="eastAsia" w:ascii="仿宋_GB2312" w:hAnsi="仿宋_GB2312" w:eastAsia="仿宋_GB2312" w:cs="仿宋_GB2312"/>
                <w:bCs/>
                <w:sz w:val="21"/>
                <w:szCs w:val="21"/>
                <w:lang w:val="en-US" w:eastAsia="zh-CN"/>
              </w:rPr>
              <w:t>12</w:t>
            </w:r>
          </w:p>
        </w:tc>
        <w:tc>
          <w:tcPr>
            <w:tcW w:w="437" w:type="pct"/>
            <w:vAlign w:val="center"/>
          </w:tcPr>
          <w:p w14:paraId="40FBA09B">
            <w:pPr>
              <w:widowControl/>
              <w:snapToGrid w:val="0"/>
              <w:ind w:left="0" w:leftChars="0" w:right="0" w:rightChars="0" w:firstLine="0" w:firstLineChars="0"/>
              <w:jc w:val="center"/>
              <w:rPr>
                <w:rFonts w:hint="eastAsia" w:ascii="仿宋_GB2312" w:hAnsi="仿宋_GB2312" w:eastAsia="仿宋_GB2312" w:cs="仿宋_GB2312"/>
                <w:bCs/>
                <w:sz w:val="21"/>
                <w:szCs w:val="21"/>
                <w:lang w:val="en-US" w:eastAsia="zh-CN"/>
              </w:rPr>
            </w:pPr>
            <w:r>
              <w:rPr>
                <w:rFonts w:hint="eastAsia" w:ascii="仿宋_GB2312" w:hAnsi="仿宋_GB2312" w:eastAsia="仿宋_GB2312" w:cs="仿宋_GB2312"/>
                <w:bCs/>
                <w:sz w:val="21"/>
                <w:szCs w:val="21"/>
                <w:lang w:val="en-US" w:eastAsia="zh-CN"/>
              </w:rPr>
              <w:t>24</w:t>
            </w:r>
          </w:p>
        </w:tc>
        <w:tc>
          <w:tcPr>
            <w:tcW w:w="636" w:type="pct"/>
            <w:shd w:val="clear" w:color="auto" w:fill="auto"/>
            <w:vAlign w:val="center"/>
          </w:tcPr>
          <w:p w14:paraId="43695BE4">
            <w:pPr>
              <w:widowControl/>
              <w:snapToGrid w:val="0"/>
              <w:ind w:left="0" w:leftChars="0" w:right="0" w:rightChars="0" w:firstLine="0" w:firstLineChars="0"/>
              <w:jc w:val="center"/>
              <w:rPr>
                <w:rFonts w:hint="eastAsia" w:ascii="仿宋_GB2312" w:hAnsi="仿宋_GB2312" w:eastAsia="仿宋_GB2312" w:cs="仿宋_GB2312"/>
                <w:bCs/>
                <w:sz w:val="21"/>
                <w:szCs w:val="21"/>
                <w:lang w:val="en-US" w:eastAsia="zh-CN"/>
              </w:rPr>
            </w:pPr>
            <w:r>
              <w:rPr>
                <w:rFonts w:hint="eastAsia" w:ascii="仿宋_GB2312" w:hAnsi="仿宋_GB2312" w:eastAsia="仿宋_GB2312" w:cs="仿宋_GB2312"/>
                <w:bCs/>
                <w:sz w:val="21"/>
                <w:szCs w:val="21"/>
                <w:lang w:val="en-US" w:eastAsia="zh-CN"/>
              </w:rPr>
              <w:t>必修</w:t>
            </w:r>
          </w:p>
        </w:tc>
        <w:tc>
          <w:tcPr>
            <w:tcW w:w="643" w:type="pct"/>
            <w:shd w:val="clear" w:color="auto" w:fill="auto"/>
            <w:vAlign w:val="center"/>
          </w:tcPr>
          <w:p w14:paraId="6E205F7A">
            <w:pPr>
              <w:widowControl/>
              <w:snapToGrid w:val="0"/>
              <w:ind w:left="0" w:leftChars="0" w:right="0" w:rightChars="0" w:firstLine="0" w:firstLineChars="0"/>
              <w:jc w:val="center"/>
              <w:rPr>
                <w:rFonts w:hint="eastAsia" w:ascii="仿宋_GB2312" w:hAnsi="仿宋_GB2312" w:eastAsia="仿宋_GB2312" w:cs="仿宋_GB2312"/>
                <w:bCs/>
                <w:sz w:val="21"/>
                <w:szCs w:val="21"/>
                <w:lang w:val="en-US" w:eastAsia="zh-CN"/>
              </w:rPr>
            </w:pPr>
            <w:r>
              <w:rPr>
                <w:rFonts w:hint="eastAsia" w:ascii="仿宋_GB2312" w:hAnsi="仿宋_GB2312" w:eastAsia="仿宋_GB2312" w:cs="仿宋_GB2312"/>
                <w:bCs/>
                <w:sz w:val="21"/>
                <w:szCs w:val="21"/>
                <w:lang w:val="en-US" w:eastAsia="zh-CN"/>
              </w:rPr>
              <w:t>考查</w:t>
            </w:r>
          </w:p>
        </w:tc>
        <w:tc>
          <w:tcPr>
            <w:tcW w:w="688" w:type="pct"/>
            <w:vAlign w:val="center"/>
          </w:tcPr>
          <w:p w14:paraId="69FDF524">
            <w:pPr>
              <w:widowControl/>
              <w:snapToGrid w:val="0"/>
              <w:ind w:left="0" w:leftChars="0" w:right="0" w:rightChars="0" w:firstLine="0" w:firstLineChars="0"/>
              <w:jc w:val="center"/>
              <w:rPr>
                <w:rFonts w:hint="default" w:ascii="仿宋_GB2312" w:hAnsi="仿宋_GB2312" w:eastAsia="仿宋_GB2312" w:cs="仿宋_GB2312"/>
                <w:bCs/>
                <w:sz w:val="21"/>
                <w:szCs w:val="21"/>
                <w:lang w:val="en-US" w:eastAsia="zh-CN"/>
              </w:rPr>
            </w:pPr>
            <w:r>
              <w:rPr>
                <w:rFonts w:hint="eastAsia" w:ascii="仿宋_GB2312" w:hAnsi="仿宋_GB2312" w:eastAsia="仿宋_GB2312" w:cs="仿宋_GB2312"/>
                <w:bCs/>
                <w:sz w:val="21"/>
                <w:szCs w:val="21"/>
                <w:lang w:val="en-US" w:eastAsia="zh-CN"/>
              </w:rPr>
              <w:t>秋季学期</w:t>
            </w:r>
          </w:p>
        </w:tc>
      </w:tr>
      <w:tr w14:paraId="1BCE6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27" w:type="pct"/>
            <w:tcBorders>
              <w:bottom w:val="single" w:color="auto" w:sz="4" w:space="0"/>
            </w:tcBorders>
            <w:vAlign w:val="center"/>
          </w:tcPr>
          <w:p w14:paraId="74426046">
            <w:pPr>
              <w:widowControl/>
              <w:snapToGrid w:val="0"/>
              <w:ind w:left="0" w:leftChars="0" w:right="0" w:rightChars="0" w:firstLine="0" w:firstLineChars="0"/>
              <w:jc w:val="center"/>
              <w:rPr>
                <w:rFonts w:hint="eastAsia" w:ascii="仿宋_GB2312" w:hAnsi="仿宋_GB2312" w:eastAsia="仿宋_GB2312" w:cs="仿宋_GB2312"/>
                <w:bCs/>
                <w:sz w:val="21"/>
                <w:szCs w:val="21"/>
                <w:lang w:val="en-US" w:eastAsia="zh-CN"/>
              </w:rPr>
            </w:pPr>
            <w:r>
              <w:rPr>
                <w:rFonts w:hint="eastAsia" w:ascii="仿宋_GB2312" w:hAnsi="仿宋_GB2312" w:eastAsia="仿宋_GB2312" w:cs="仿宋_GB2312"/>
                <w:bCs/>
                <w:sz w:val="21"/>
                <w:szCs w:val="21"/>
                <w:lang w:val="en-US" w:eastAsia="zh-CN"/>
              </w:rPr>
              <w:t>合计</w:t>
            </w:r>
          </w:p>
        </w:tc>
        <w:tc>
          <w:tcPr>
            <w:tcW w:w="360" w:type="pct"/>
            <w:tcBorders>
              <w:bottom w:val="single" w:color="auto" w:sz="4" w:space="0"/>
            </w:tcBorders>
            <w:shd w:val="clear" w:color="auto" w:fill="auto"/>
            <w:vAlign w:val="center"/>
          </w:tcPr>
          <w:p w14:paraId="4D0417C5">
            <w:pPr>
              <w:widowControl/>
              <w:snapToGrid w:val="0"/>
              <w:ind w:left="0" w:leftChars="0" w:right="0" w:rightChars="0" w:firstLine="0" w:firstLineChars="0"/>
              <w:jc w:val="center"/>
              <w:rPr>
                <w:rFonts w:hint="eastAsia" w:ascii="仿宋_GB2312" w:hAnsi="仿宋_GB2312" w:eastAsia="仿宋_GB2312" w:cs="仿宋_GB2312"/>
                <w:bCs/>
                <w:sz w:val="21"/>
                <w:szCs w:val="21"/>
                <w:lang w:val="en-US" w:eastAsia="zh-CN"/>
              </w:rPr>
            </w:pPr>
            <w:r>
              <w:rPr>
                <w:rFonts w:hint="eastAsia" w:ascii="仿宋_GB2312" w:hAnsi="仿宋_GB2312" w:eastAsia="仿宋_GB2312" w:cs="仿宋_GB2312"/>
                <w:bCs/>
                <w:sz w:val="21"/>
                <w:szCs w:val="21"/>
                <w:lang w:val="en-US" w:eastAsia="zh-CN"/>
              </w:rPr>
              <w:t>10</w:t>
            </w:r>
          </w:p>
        </w:tc>
        <w:tc>
          <w:tcPr>
            <w:tcW w:w="494" w:type="pct"/>
            <w:tcBorders>
              <w:bottom w:val="single" w:color="auto" w:sz="4" w:space="0"/>
            </w:tcBorders>
            <w:shd w:val="clear" w:color="auto" w:fill="auto"/>
            <w:vAlign w:val="center"/>
          </w:tcPr>
          <w:p w14:paraId="09663693">
            <w:pPr>
              <w:widowControl/>
              <w:snapToGrid w:val="0"/>
              <w:ind w:left="0" w:leftChars="0" w:right="0" w:rightChars="0" w:firstLine="0" w:firstLineChars="0"/>
              <w:jc w:val="center"/>
              <w:rPr>
                <w:rFonts w:hint="eastAsia" w:ascii="仿宋_GB2312" w:hAnsi="仿宋_GB2312" w:eastAsia="仿宋_GB2312" w:cs="仿宋_GB2312"/>
                <w:bCs/>
                <w:sz w:val="21"/>
                <w:szCs w:val="21"/>
                <w:lang w:val="en-US" w:eastAsia="zh-CN"/>
              </w:rPr>
            </w:pPr>
            <w:r>
              <w:rPr>
                <w:rFonts w:hint="eastAsia" w:ascii="仿宋_GB2312" w:hAnsi="仿宋_GB2312" w:eastAsia="仿宋_GB2312" w:cs="仿宋_GB2312"/>
                <w:bCs/>
                <w:sz w:val="21"/>
                <w:szCs w:val="21"/>
                <w:lang w:val="en-US" w:eastAsia="zh-CN"/>
              </w:rPr>
              <w:t>180</w:t>
            </w:r>
          </w:p>
        </w:tc>
        <w:tc>
          <w:tcPr>
            <w:tcW w:w="512" w:type="pct"/>
            <w:tcBorders>
              <w:bottom w:val="single" w:color="auto" w:sz="4" w:space="0"/>
            </w:tcBorders>
            <w:shd w:val="clear" w:color="auto" w:fill="auto"/>
            <w:vAlign w:val="center"/>
          </w:tcPr>
          <w:p w14:paraId="6D58FA37">
            <w:pPr>
              <w:widowControl/>
              <w:snapToGrid w:val="0"/>
              <w:ind w:left="0" w:leftChars="0" w:right="0" w:rightChars="0" w:firstLine="0" w:firstLineChars="0"/>
              <w:jc w:val="center"/>
              <w:rPr>
                <w:rFonts w:hint="eastAsia" w:ascii="仿宋_GB2312" w:hAnsi="仿宋_GB2312" w:eastAsia="仿宋_GB2312" w:cs="仿宋_GB2312"/>
                <w:bCs/>
                <w:sz w:val="21"/>
                <w:szCs w:val="21"/>
                <w:lang w:val="en-US" w:eastAsia="zh-CN"/>
              </w:rPr>
            </w:pPr>
            <w:r>
              <w:rPr>
                <w:rFonts w:hint="eastAsia" w:ascii="仿宋_GB2312" w:hAnsi="仿宋_GB2312" w:eastAsia="仿宋_GB2312" w:cs="仿宋_GB2312"/>
                <w:bCs/>
                <w:sz w:val="21"/>
                <w:szCs w:val="21"/>
                <w:lang w:val="en-US" w:eastAsia="zh-CN"/>
              </w:rPr>
              <w:t>72</w:t>
            </w:r>
          </w:p>
        </w:tc>
        <w:tc>
          <w:tcPr>
            <w:tcW w:w="437" w:type="pct"/>
            <w:tcBorders>
              <w:bottom w:val="single" w:color="auto" w:sz="4" w:space="0"/>
            </w:tcBorders>
            <w:shd w:val="clear" w:color="auto" w:fill="auto"/>
            <w:vAlign w:val="center"/>
          </w:tcPr>
          <w:p w14:paraId="501E8242">
            <w:pPr>
              <w:widowControl/>
              <w:snapToGrid w:val="0"/>
              <w:ind w:left="0" w:leftChars="0" w:right="0" w:rightChars="0" w:firstLine="0" w:firstLineChars="0"/>
              <w:jc w:val="center"/>
              <w:rPr>
                <w:rFonts w:hint="eastAsia" w:ascii="仿宋_GB2312" w:hAnsi="仿宋_GB2312" w:eastAsia="仿宋_GB2312" w:cs="仿宋_GB2312"/>
                <w:bCs/>
                <w:sz w:val="21"/>
                <w:szCs w:val="21"/>
                <w:lang w:val="en-US" w:eastAsia="zh-CN"/>
              </w:rPr>
            </w:pPr>
            <w:r>
              <w:rPr>
                <w:rFonts w:hint="eastAsia" w:ascii="仿宋_GB2312" w:hAnsi="仿宋_GB2312" w:eastAsia="仿宋_GB2312" w:cs="仿宋_GB2312"/>
                <w:bCs/>
                <w:sz w:val="21"/>
                <w:szCs w:val="21"/>
                <w:lang w:val="en-US" w:eastAsia="zh-CN"/>
              </w:rPr>
              <w:t>108</w:t>
            </w:r>
          </w:p>
        </w:tc>
        <w:tc>
          <w:tcPr>
            <w:tcW w:w="636" w:type="pct"/>
            <w:tcBorders>
              <w:bottom w:val="single" w:color="auto" w:sz="4" w:space="0"/>
            </w:tcBorders>
            <w:shd w:val="clear" w:color="auto" w:fill="auto"/>
            <w:vAlign w:val="center"/>
          </w:tcPr>
          <w:p w14:paraId="1EEC3844">
            <w:pPr>
              <w:widowControl/>
              <w:snapToGrid w:val="0"/>
              <w:ind w:left="0" w:leftChars="0" w:right="0" w:rightChars="0" w:firstLine="0" w:firstLineChars="0"/>
              <w:jc w:val="center"/>
              <w:rPr>
                <w:rFonts w:hint="eastAsia" w:ascii="仿宋_GB2312" w:hAnsi="仿宋_GB2312" w:eastAsia="仿宋_GB2312" w:cs="仿宋_GB2312"/>
                <w:bCs/>
                <w:sz w:val="21"/>
                <w:szCs w:val="21"/>
                <w:lang w:val="en-US" w:eastAsia="zh-CN"/>
              </w:rPr>
            </w:pPr>
            <w:r>
              <w:rPr>
                <w:rFonts w:hint="eastAsia" w:ascii="仿宋_GB2312" w:hAnsi="仿宋_GB2312" w:eastAsia="仿宋_GB2312" w:cs="仿宋_GB2312"/>
                <w:bCs/>
                <w:sz w:val="21"/>
                <w:szCs w:val="21"/>
                <w:lang w:val="en-US" w:eastAsia="zh-CN"/>
              </w:rPr>
              <w:t>-</w:t>
            </w:r>
          </w:p>
        </w:tc>
        <w:tc>
          <w:tcPr>
            <w:tcW w:w="643" w:type="pct"/>
            <w:tcBorders>
              <w:bottom w:val="single" w:color="auto" w:sz="4" w:space="0"/>
            </w:tcBorders>
            <w:shd w:val="clear" w:color="auto" w:fill="auto"/>
            <w:vAlign w:val="center"/>
          </w:tcPr>
          <w:p w14:paraId="6BB3DEF0">
            <w:pPr>
              <w:widowControl/>
              <w:snapToGrid w:val="0"/>
              <w:ind w:left="0" w:leftChars="0" w:right="0" w:rightChars="0" w:firstLine="0" w:firstLineChars="0"/>
              <w:jc w:val="center"/>
              <w:rPr>
                <w:rFonts w:hint="eastAsia" w:ascii="仿宋_GB2312" w:hAnsi="仿宋_GB2312" w:eastAsia="仿宋_GB2312" w:cs="仿宋_GB2312"/>
                <w:bCs/>
                <w:sz w:val="21"/>
                <w:szCs w:val="21"/>
                <w:lang w:val="en-US" w:eastAsia="zh-CN"/>
              </w:rPr>
            </w:pPr>
            <w:r>
              <w:rPr>
                <w:rFonts w:hint="eastAsia" w:ascii="仿宋_GB2312" w:hAnsi="仿宋_GB2312" w:eastAsia="仿宋_GB2312" w:cs="仿宋_GB2312"/>
                <w:bCs/>
                <w:sz w:val="21"/>
                <w:szCs w:val="21"/>
                <w:lang w:val="en-US" w:eastAsia="zh-CN"/>
              </w:rPr>
              <w:t>-</w:t>
            </w:r>
          </w:p>
        </w:tc>
        <w:tc>
          <w:tcPr>
            <w:tcW w:w="688" w:type="pct"/>
            <w:tcBorders>
              <w:bottom w:val="single" w:color="auto" w:sz="4" w:space="0"/>
            </w:tcBorders>
            <w:vAlign w:val="center"/>
          </w:tcPr>
          <w:p w14:paraId="2A2F8421">
            <w:pPr>
              <w:widowControl/>
              <w:snapToGrid w:val="0"/>
              <w:ind w:left="0" w:leftChars="0" w:right="0" w:rightChars="0" w:firstLine="0" w:firstLineChars="0"/>
              <w:jc w:val="center"/>
              <w:rPr>
                <w:rFonts w:hint="eastAsia" w:ascii="仿宋_GB2312" w:hAnsi="仿宋_GB2312" w:eastAsia="仿宋_GB2312" w:cs="仿宋_GB2312"/>
                <w:bCs/>
                <w:sz w:val="21"/>
                <w:szCs w:val="21"/>
                <w:lang w:val="en-US" w:eastAsia="zh-CN"/>
              </w:rPr>
            </w:pPr>
            <w:r>
              <w:rPr>
                <w:rFonts w:hint="eastAsia" w:ascii="仿宋_GB2312" w:hAnsi="仿宋_GB2312" w:eastAsia="仿宋_GB2312" w:cs="仿宋_GB2312"/>
                <w:bCs/>
                <w:sz w:val="21"/>
                <w:szCs w:val="21"/>
                <w:lang w:val="en-US" w:eastAsia="zh-CN"/>
              </w:rPr>
              <w:t>-</w:t>
            </w:r>
          </w:p>
        </w:tc>
      </w:tr>
    </w:tbl>
    <w:p w14:paraId="1BFA77E3">
      <w:pPr>
        <w:spacing w:before="156" w:beforeLines="50" w:after="156" w:afterLines="50" w:line="48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六、课程简介</w:t>
      </w:r>
    </w:p>
    <w:tbl>
      <w:tblPr>
        <w:tblStyle w:val="3"/>
        <w:tblW w:w="90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
        <w:gridCol w:w="1988"/>
        <w:gridCol w:w="6145"/>
      </w:tblGrid>
      <w:tr w14:paraId="29537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blHeader/>
          <w:jc w:val="center"/>
        </w:trPr>
        <w:tc>
          <w:tcPr>
            <w:tcW w:w="916" w:type="dxa"/>
            <w:tcBorders>
              <w:top w:val="single" w:color="auto" w:sz="4" w:space="0"/>
            </w:tcBorders>
            <w:vAlign w:val="center"/>
          </w:tcPr>
          <w:p w14:paraId="23FABFF7">
            <w:pPr>
              <w:widowControl/>
              <w:snapToGrid w:val="0"/>
              <w:ind w:left="0" w:leftChars="0" w:right="0" w:rightChars="0" w:firstLine="0" w:firstLineChars="0"/>
              <w:jc w:val="center"/>
              <w:rPr>
                <w:rFonts w:hint="eastAsia" w:ascii="黑体" w:hAnsi="黑体" w:eastAsia="黑体" w:cs="黑体"/>
                <w:b/>
                <w:bCs/>
                <w:spacing w:val="20"/>
                <w:sz w:val="21"/>
                <w:szCs w:val="21"/>
              </w:rPr>
            </w:pPr>
            <w:r>
              <w:rPr>
                <w:rFonts w:hint="eastAsia" w:ascii="黑体" w:hAnsi="黑体" w:eastAsia="黑体" w:cs="黑体"/>
                <w:b/>
                <w:bCs/>
                <w:spacing w:val="20"/>
                <w:sz w:val="21"/>
                <w:szCs w:val="21"/>
              </w:rPr>
              <w:t>序号</w:t>
            </w:r>
          </w:p>
        </w:tc>
        <w:tc>
          <w:tcPr>
            <w:tcW w:w="1988" w:type="dxa"/>
            <w:tcBorders>
              <w:top w:val="single" w:color="auto" w:sz="4" w:space="0"/>
            </w:tcBorders>
            <w:vAlign w:val="center"/>
          </w:tcPr>
          <w:p w14:paraId="5300F9AD">
            <w:pPr>
              <w:widowControl/>
              <w:snapToGrid w:val="0"/>
              <w:ind w:left="0" w:leftChars="0" w:right="0" w:rightChars="0" w:firstLine="0" w:firstLineChars="0"/>
              <w:jc w:val="center"/>
              <w:rPr>
                <w:rFonts w:hint="eastAsia" w:ascii="黑体" w:hAnsi="黑体" w:eastAsia="黑体" w:cs="黑体"/>
                <w:b/>
                <w:bCs/>
                <w:spacing w:val="20"/>
                <w:sz w:val="21"/>
                <w:szCs w:val="21"/>
              </w:rPr>
            </w:pPr>
            <w:r>
              <w:rPr>
                <w:rFonts w:hint="eastAsia" w:ascii="黑体" w:hAnsi="黑体" w:eastAsia="黑体" w:cs="黑体"/>
                <w:b/>
                <w:bCs/>
                <w:spacing w:val="20"/>
                <w:sz w:val="21"/>
                <w:szCs w:val="21"/>
              </w:rPr>
              <w:t>课程名称</w:t>
            </w:r>
          </w:p>
        </w:tc>
        <w:tc>
          <w:tcPr>
            <w:tcW w:w="6145" w:type="dxa"/>
            <w:tcBorders>
              <w:top w:val="single" w:color="auto" w:sz="4" w:space="0"/>
              <w:bottom w:val="single" w:color="auto" w:sz="4" w:space="0"/>
            </w:tcBorders>
            <w:vAlign w:val="center"/>
          </w:tcPr>
          <w:p w14:paraId="005B8980">
            <w:pPr>
              <w:widowControl/>
              <w:snapToGrid w:val="0"/>
              <w:ind w:left="0" w:leftChars="0" w:right="0" w:rightChars="0" w:firstLine="0" w:firstLineChars="0"/>
              <w:jc w:val="center"/>
              <w:rPr>
                <w:rFonts w:hint="eastAsia" w:ascii="黑体" w:hAnsi="黑体" w:eastAsia="黑体" w:cs="黑体"/>
                <w:b/>
                <w:bCs/>
                <w:sz w:val="21"/>
                <w:szCs w:val="21"/>
              </w:rPr>
            </w:pPr>
            <w:r>
              <w:rPr>
                <w:rFonts w:hint="eastAsia" w:ascii="黑体" w:hAnsi="黑体" w:eastAsia="黑体" w:cs="黑体"/>
                <w:b/>
                <w:bCs/>
                <w:spacing w:val="20"/>
                <w:sz w:val="21"/>
                <w:szCs w:val="21"/>
              </w:rPr>
              <w:t>课程简介</w:t>
            </w:r>
          </w:p>
        </w:tc>
      </w:tr>
      <w:tr w14:paraId="094E3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16" w:type="dxa"/>
            <w:vAlign w:val="center"/>
          </w:tcPr>
          <w:p w14:paraId="05C72216">
            <w:pPr>
              <w:widowControl/>
              <w:snapToGrid w:val="0"/>
              <w:ind w:left="0" w:leftChars="0" w:right="0" w:rightChars="0" w:firstLine="0" w:firstLineChars="0"/>
              <w:jc w:val="center"/>
              <w:rPr>
                <w:rFonts w:hint="eastAsia" w:ascii="仿宋_GB2312" w:hAnsi="仿宋_GB2312" w:eastAsia="仿宋_GB2312" w:cs="仿宋_GB2312"/>
                <w:bCs/>
                <w:sz w:val="21"/>
                <w:szCs w:val="21"/>
              </w:rPr>
            </w:pPr>
            <w:r>
              <w:rPr>
                <w:rFonts w:hint="eastAsia" w:ascii="仿宋_GB2312" w:hAnsi="仿宋_GB2312" w:eastAsia="仿宋_GB2312" w:cs="仿宋_GB2312"/>
                <w:bCs/>
                <w:sz w:val="21"/>
                <w:szCs w:val="21"/>
              </w:rPr>
              <w:t>1</w:t>
            </w:r>
          </w:p>
        </w:tc>
        <w:tc>
          <w:tcPr>
            <w:tcW w:w="1988" w:type="dxa"/>
            <w:vAlign w:val="center"/>
          </w:tcPr>
          <w:p w14:paraId="7CB97DB7">
            <w:pPr>
              <w:widowControl/>
              <w:snapToGrid w:val="0"/>
              <w:ind w:left="0" w:leftChars="0" w:right="0" w:rightChars="0" w:firstLine="0" w:firstLineChars="0"/>
              <w:jc w:val="center"/>
              <w:rPr>
                <w:rFonts w:hint="eastAsia" w:ascii="仿宋_GB2312" w:hAnsi="仿宋_GB2312" w:eastAsia="仿宋_GB2312" w:cs="仿宋_GB2312"/>
                <w:bCs/>
                <w:sz w:val="21"/>
                <w:szCs w:val="21"/>
              </w:rPr>
            </w:pPr>
            <w:r>
              <w:rPr>
                <w:rFonts w:hint="eastAsia" w:ascii="仿宋_GB2312" w:hAnsi="仿宋_GB2312" w:eastAsia="仿宋_GB2312" w:cs="仿宋_GB2312"/>
                <w:bCs/>
                <w:sz w:val="21"/>
                <w:szCs w:val="21"/>
                <w:lang w:val="en-US" w:eastAsia="zh-CN"/>
              </w:rPr>
              <w:t>数字营销概论</w:t>
            </w:r>
          </w:p>
        </w:tc>
        <w:tc>
          <w:tcPr>
            <w:tcW w:w="6145" w:type="dxa"/>
            <w:tcBorders>
              <w:top w:val="single" w:color="auto" w:sz="4" w:space="0"/>
              <w:bottom w:val="single" w:color="auto" w:sz="4" w:space="0"/>
            </w:tcBorders>
            <w:vAlign w:val="center"/>
          </w:tcPr>
          <w:p w14:paraId="22C3787A">
            <w:pPr>
              <w:widowControl/>
              <w:snapToGrid w:val="0"/>
              <w:ind w:left="0" w:leftChars="0" w:right="0" w:rightChars="0" w:firstLine="420" w:firstLineChars="200"/>
              <w:jc w:val="left"/>
              <w:rPr>
                <w:rFonts w:hint="eastAsia" w:ascii="仿宋_GB2312" w:hAnsi="仿宋_GB2312" w:eastAsia="仿宋_GB2312" w:cs="仿宋_GB2312"/>
                <w:bCs/>
                <w:sz w:val="21"/>
                <w:szCs w:val="21"/>
              </w:rPr>
            </w:pPr>
            <w:r>
              <w:rPr>
                <w:rFonts w:hint="eastAsia" w:ascii="仿宋_GB2312" w:hAnsi="仿宋_GB2312" w:eastAsia="仿宋_GB2312" w:cs="仿宋_GB2312"/>
                <w:bCs/>
                <w:sz w:val="21"/>
                <w:szCs w:val="21"/>
              </w:rPr>
              <w:t>作为数字营销微专业的基础入门课程，本课程以国际商学院在跨境营销领域的积累为核心，搭建传统营销逻辑、数字营销升级、跨境场景适配的三维知识体系。</w:t>
            </w:r>
          </w:p>
          <w:p w14:paraId="1369234F">
            <w:pPr>
              <w:widowControl/>
              <w:snapToGrid w:val="0"/>
              <w:ind w:left="0" w:leftChars="0" w:right="0" w:rightChars="0" w:firstLine="420" w:firstLineChars="200"/>
              <w:jc w:val="left"/>
              <w:rPr>
                <w:rFonts w:hint="eastAsia" w:ascii="仿宋_GB2312" w:hAnsi="仿宋_GB2312" w:eastAsia="仿宋_GB2312" w:cs="仿宋_GB2312"/>
                <w:bCs/>
                <w:sz w:val="21"/>
                <w:szCs w:val="21"/>
              </w:rPr>
            </w:pPr>
            <w:r>
              <w:rPr>
                <w:rFonts w:hint="eastAsia" w:ascii="仿宋_GB2312" w:hAnsi="仿宋_GB2312" w:eastAsia="仿宋_GB2312" w:cs="仿宋_GB2312"/>
                <w:bCs/>
                <w:sz w:val="21"/>
                <w:szCs w:val="21"/>
              </w:rPr>
              <w:t>课程系统讲解营销核心理论，聚焦数字经济对营销的重构、全域营销逻辑与跨境营销特殊性。通过国际品牌数字营销案例拆解、小组模拟营销策划等教学形式，帮助学生夯实营销理论根基，为后续数字化、跨境化课程学习筑牢基础。</w:t>
            </w:r>
          </w:p>
        </w:tc>
      </w:tr>
      <w:tr w14:paraId="46D80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16" w:type="dxa"/>
            <w:vAlign w:val="center"/>
          </w:tcPr>
          <w:p w14:paraId="6F56B075">
            <w:pPr>
              <w:widowControl/>
              <w:snapToGrid w:val="0"/>
              <w:ind w:left="0" w:leftChars="0" w:right="0" w:rightChars="0" w:firstLine="0" w:firstLineChars="0"/>
              <w:jc w:val="center"/>
              <w:rPr>
                <w:rFonts w:hint="eastAsia" w:ascii="仿宋_GB2312" w:hAnsi="仿宋_GB2312" w:eastAsia="仿宋_GB2312" w:cs="仿宋_GB2312"/>
                <w:bCs/>
                <w:sz w:val="21"/>
                <w:szCs w:val="21"/>
              </w:rPr>
            </w:pPr>
            <w:r>
              <w:rPr>
                <w:rFonts w:hint="eastAsia" w:ascii="仿宋_GB2312" w:hAnsi="仿宋_GB2312" w:eastAsia="仿宋_GB2312" w:cs="仿宋_GB2312"/>
                <w:bCs/>
                <w:sz w:val="21"/>
                <w:szCs w:val="21"/>
              </w:rPr>
              <w:t>2</w:t>
            </w:r>
          </w:p>
        </w:tc>
        <w:tc>
          <w:tcPr>
            <w:tcW w:w="1988" w:type="dxa"/>
            <w:vAlign w:val="center"/>
          </w:tcPr>
          <w:p w14:paraId="2C428520">
            <w:pPr>
              <w:widowControl/>
              <w:snapToGrid w:val="0"/>
              <w:ind w:left="0" w:leftChars="0" w:right="0" w:rightChars="0" w:firstLine="0" w:firstLineChars="0"/>
              <w:jc w:val="center"/>
              <w:rPr>
                <w:rFonts w:hint="eastAsia" w:ascii="仿宋_GB2312" w:hAnsi="仿宋_GB2312" w:eastAsia="仿宋_GB2312" w:cs="仿宋_GB2312"/>
                <w:bCs/>
                <w:sz w:val="21"/>
                <w:szCs w:val="21"/>
              </w:rPr>
            </w:pPr>
            <w:r>
              <w:rPr>
                <w:rFonts w:hint="eastAsia" w:ascii="仿宋_GB2312" w:hAnsi="仿宋_GB2312" w:eastAsia="仿宋_GB2312" w:cs="仿宋_GB2312"/>
                <w:bCs/>
                <w:sz w:val="21"/>
                <w:szCs w:val="21"/>
                <w:lang w:val="en-US" w:eastAsia="zh-CN"/>
              </w:rPr>
              <w:t>数字商业管理</w:t>
            </w:r>
          </w:p>
        </w:tc>
        <w:tc>
          <w:tcPr>
            <w:tcW w:w="6145" w:type="dxa"/>
            <w:tcBorders>
              <w:top w:val="single" w:color="auto" w:sz="4" w:space="0"/>
              <w:bottom w:val="single" w:color="auto" w:sz="4" w:space="0"/>
            </w:tcBorders>
            <w:vAlign w:val="center"/>
          </w:tcPr>
          <w:p w14:paraId="639752C9">
            <w:pPr>
              <w:widowControl/>
              <w:snapToGrid w:val="0"/>
              <w:ind w:left="0" w:leftChars="0" w:right="0" w:rightChars="0" w:firstLine="420" w:firstLineChars="200"/>
              <w:jc w:val="left"/>
              <w:rPr>
                <w:rFonts w:hint="eastAsia" w:ascii="仿宋_GB2312" w:hAnsi="仿宋_GB2312" w:eastAsia="仿宋_GB2312" w:cs="仿宋_GB2312"/>
                <w:bCs/>
                <w:sz w:val="21"/>
                <w:szCs w:val="21"/>
              </w:rPr>
            </w:pPr>
            <w:r>
              <w:rPr>
                <w:rFonts w:hint="eastAsia" w:ascii="仿宋_GB2312" w:hAnsi="仿宋_GB2312" w:eastAsia="仿宋_GB2312" w:cs="仿宋_GB2312"/>
                <w:bCs/>
                <w:sz w:val="21"/>
                <w:szCs w:val="21"/>
              </w:rPr>
              <w:t>本课程聚焦数字经济时代的商业运营逻辑，内容涵盖三大模块：数字商业底层逻辑、数字化转型路径、数字商业与营销的联动。</w:t>
            </w:r>
          </w:p>
          <w:p w14:paraId="389BF047">
            <w:pPr>
              <w:widowControl/>
              <w:snapToGrid w:val="0"/>
              <w:ind w:left="0" w:leftChars="0" w:right="0" w:rightChars="0" w:firstLine="420" w:firstLineChars="200"/>
              <w:jc w:val="left"/>
              <w:rPr>
                <w:rFonts w:hint="eastAsia" w:ascii="仿宋_GB2312" w:hAnsi="仿宋_GB2312" w:eastAsia="仿宋_GB2312" w:cs="仿宋_GB2312"/>
                <w:bCs/>
                <w:sz w:val="21"/>
                <w:szCs w:val="21"/>
              </w:rPr>
            </w:pPr>
            <w:r>
              <w:rPr>
                <w:rFonts w:hint="eastAsia" w:ascii="仿宋_GB2312" w:hAnsi="仿宋_GB2312" w:eastAsia="仿宋_GB2312" w:cs="仿宋_GB2312"/>
                <w:bCs/>
                <w:sz w:val="21"/>
                <w:szCs w:val="21"/>
              </w:rPr>
              <w:t>教学中融入国际商学院合作企业的真实案例，结合小组讨论、商业计划书撰写等实操环节，培养学生从商业视角理解数字营销的战略价值，掌握商业需求、营销适配、跨境落地的协同思维。</w:t>
            </w:r>
          </w:p>
        </w:tc>
      </w:tr>
      <w:tr w14:paraId="07878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16" w:type="dxa"/>
            <w:vAlign w:val="center"/>
          </w:tcPr>
          <w:p w14:paraId="0BEF1DD9">
            <w:pPr>
              <w:widowControl/>
              <w:snapToGrid w:val="0"/>
              <w:ind w:left="0" w:leftChars="0" w:right="0" w:rightChars="0" w:firstLine="0" w:firstLineChars="0"/>
              <w:jc w:val="center"/>
              <w:rPr>
                <w:rFonts w:hint="eastAsia" w:ascii="仿宋_GB2312" w:hAnsi="仿宋_GB2312" w:eastAsia="仿宋_GB2312" w:cs="仿宋_GB2312"/>
                <w:bCs/>
                <w:sz w:val="21"/>
                <w:szCs w:val="21"/>
              </w:rPr>
            </w:pPr>
            <w:r>
              <w:rPr>
                <w:rFonts w:hint="eastAsia" w:ascii="仿宋_GB2312" w:hAnsi="仿宋_GB2312" w:eastAsia="仿宋_GB2312" w:cs="仿宋_GB2312"/>
                <w:bCs/>
                <w:sz w:val="21"/>
                <w:szCs w:val="21"/>
              </w:rPr>
              <w:t>3</w:t>
            </w:r>
          </w:p>
        </w:tc>
        <w:tc>
          <w:tcPr>
            <w:tcW w:w="1988" w:type="dxa"/>
            <w:vAlign w:val="center"/>
          </w:tcPr>
          <w:p w14:paraId="610999CC">
            <w:pPr>
              <w:widowControl/>
              <w:snapToGrid w:val="0"/>
              <w:ind w:left="0" w:leftChars="0" w:right="0" w:rightChars="0" w:firstLine="0" w:firstLineChars="0"/>
              <w:jc w:val="center"/>
              <w:rPr>
                <w:rFonts w:hint="eastAsia" w:ascii="仿宋_GB2312" w:hAnsi="仿宋_GB2312" w:eastAsia="仿宋_GB2312" w:cs="仿宋_GB2312"/>
                <w:bCs/>
                <w:sz w:val="21"/>
                <w:szCs w:val="21"/>
              </w:rPr>
            </w:pPr>
            <w:r>
              <w:rPr>
                <w:rFonts w:hint="eastAsia" w:ascii="仿宋_GB2312" w:hAnsi="仿宋_GB2312" w:eastAsia="仿宋_GB2312" w:cs="仿宋_GB2312"/>
                <w:bCs/>
                <w:sz w:val="21"/>
                <w:szCs w:val="21"/>
                <w:lang w:val="en-US" w:eastAsia="zh-CN"/>
              </w:rPr>
              <w:t>数字消费者行为学</w:t>
            </w:r>
          </w:p>
        </w:tc>
        <w:tc>
          <w:tcPr>
            <w:tcW w:w="6145" w:type="dxa"/>
            <w:tcBorders>
              <w:top w:val="single" w:color="auto" w:sz="4" w:space="0"/>
              <w:bottom w:val="single" w:color="auto" w:sz="4" w:space="0"/>
            </w:tcBorders>
            <w:vAlign w:val="center"/>
          </w:tcPr>
          <w:p w14:paraId="1AEDC8B2">
            <w:pPr>
              <w:widowControl/>
              <w:snapToGrid w:val="0"/>
              <w:ind w:left="0" w:leftChars="0" w:right="0" w:rightChars="0" w:firstLine="420" w:firstLineChars="200"/>
              <w:jc w:val="left"/>
              <w:rPr>
                <w:rFonts w:hint="eastAsia" w:ascii="仿宋_GB2312" w:hAnsi="仿宋_GB2312" w:eastAsia="仿宋_GB2312" w:cs="仿宋_GB2312"/>
                <w:bCs/>
                <w:sz w:val="21"/>
                <w:szCs w:val="21"/>
              </w:rPr>
            </w:pPr>
            <w:r>
              <w:rPr>
                <w:rFonts w:hint="eastAsia" w:ascii="仿宋_GB2312" w:hAnsi="仿宋_GB2312" w:eastAsia="仿宋_GB2312" w:cs="仿宋_GB2312"/>
                <w:bCs/>
                <w:sz w:val="21"/>
                <w:szCs w:val="21"/>
              </w:rPr>
              <w:t>本课程聚焦数字环境下消费者决策规律，课程核心内容包括：数字消费者决策路径、用户分层与画像构建、数字触点对行为的影响、跨文化数字消费者行为差异等。</w:t>
            </w:r>
          </w:p>
          <w:p w14:paraId="10E0A370">
            <w:pPr>
              <w:widowControl/>
              <w:snapToGrid w:val="0"/>
              <w:ind w:left="0" w:leftChars="0" w:right="0" w:rightChars="0" w:firstLine="420" w:firstLineChars="200"/>
              <w:jc w:val="left"/>
              <w:rPr>
                <w:rFonts w:hint="eastAsia" w:ascii="仿宋_GB2312" w:hAnsi="仿宋_GB2312" w:eastAsia="仿宋_GB2312" w:cs="仿宋_GB2312"/>
                <w:bCs/>
                <w:sz w:val="21"/>
                <w:szCs w:val="21"/>
              </w:rPr>
            </w:pPr>
            <w:r>
              <w:rPr>
                <w:rFonts w:hint="eastAsia" w:ascii="仿宋_GB2312" w:hAnsi="仿宋_GB2312" w:eastAsia="仿宋_GB2312" w:cs="仿宋_GB2312"/>
                <w:bCs/>
                <w:sz w:val="21"/>
                <w:szCs w:val="21"/>
              </w:rPr>
              <w:t>教学中融入真实案例，结合用户行为模拟实验、消费者洞察报告撰写等实操环节，帮助学生掌握用数字化工具分析消费者行为、适配营销场景的能力，为精准营销方案设计提供核心依据。</w:t>
            </w:r>
          </w:p>
        </w:tc>
      </w:tr>
      <w:tr w14:paraId="070D6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16" w:type="dxa"/>
            <w:vAlign w:val="center"/>
          </w:tcPr>
          <w:p w14:paraId="3BD08FA6">
            <w:pPr>
              <w:widowControl/>
              <w:snapToGrid w:val="0"/>
              <w:ind w:left="0" w:leftChars="0" w:right="0" w:rightChars="0" w:firstLine="0" w:firstLineChars="0"/>
              <w:jc w:val="center"/>
              <w:rPr>
                <w:rFonts w:hint="eastAsia" w:ascii="仿宋_GB2312" w:hAnsi="仿宋_GB2312" w:eastAsia="仿宋_GB2312" w:cs="仿宋_GB2312"/>
                <w:bCs/>
                <w:sz w:val="21"/>
                <w:szCs w:val="21"/>
              </w:rPr>
            </w:pPr>
            <w:r>
              <w:rPr>
                <w:rFonts w:hint="eastAsia" w:ascii="仿宋_GB2312" w:hAnsi="仿宋_GB2312" w:eastAsia="仿宋_GB2312" w:cs="仿宋_GB2312"/>
                <w:bCs/>
                <w:sz w:val="21"/>
                <w:szCs w:val="21"/>
              </w:rPr>
              <w:t>4</w:t>
            </w:r>
          </w:p>
        </w:tc>
        <w:tc>
          <w:tcPr>
            <w:tcW w:w="1988" w:type="dxa"/>
            <w:vAlign w:val="center"/>
          </w:tcPr>
          <w:p w14:paraId="514217D3">
            <w:pPr>
              <w:widowControl/>
              <w:snapToGrid w:val="0"/>
              <w:ind w:left="0" w:leftChars="0" w:right="0" w:rightChars="0" w:firstLine="0" w:firstLineChars="0"/>
              <w:jc w:val="center"/>
              <w:rPr>
                <w:rFonts w:hint="eastAsia" w:ascii="仿宋_GB2312" w:hAnsi="仿宋_GB2312" w:eastAsia="仿宋_GB2312" w:cs="仿宋_GB2312"/>
                <w:bCs/>
                <w:sz w:val="21"/>
                <w:szCs w:val="21"/>
              </w:rPr>
            </w:pPr>
            <w:r>
              <w:rPr>
                <w:rFonts w:hint="eastAsia" w:ascii="仿宋_GB2312" w:hAnsi="仿宋_GB2312" w:eastAsia="仿宋_GB2312" w:cs="仿宋_GB2312"/>
                <w:bCs/>
                <w:sz w:val="21"/>
                <w:szCs w:val="21"/>
                <w:lang w:val="en-US" w:eastAsia="zh-CN"/>
              </w:rPr>
              <w:t>商务数据分析</w:t>
            </w:r>
          </w:p>
        </w:tc>
        <w:tc>
          <w:tcPr>
            <w:tcW w:w="6145" w:type="dxa"/>
            <w:tcBorders>
              <w:top w:val="single" w:color="auto" w:sz="4" w:space="0"/>
              <w:bottom w:val="single" w:color="auto" w:sz="4" w:space="0"/>
            </w:tcBorders>
            <w:vAlign w:val="center"/>
          </w:tcPr>
          <w:p w14:paraId="1F61B814">
            <w:pPr>
              <w:widowControl/>
              <w:snapToGrid w:val="0"/>
              <w:ind w:left="0" w:leftChars="0" w:right="0" w:rightChars="0" w:firstLine="420" w:firstLineChars="200"/>
              <w:jc w:val="left"/>
              <w:rPr>
                <w:rFonts w:hint="eastAsia" w:ascii="仿宋_GB2312" w:hAnsi="仿宋_GB2312" w:eastAsia="仿宋_GB2312" w:cs="仿宋_GB2312"/>
                <w:bCs/>
                <w:sz w:val="21"/>
                <w:szCs w:val="21"/>
              </w:rPr>
            </w:pPr>
            <w:r>
              <w:rPr>
                <w:rFonts w:hint="eastAsia" w:ascii="仿宋_GB2312" w:hAnsi="仿宋_GB2312" w:eastAsia="仿宋_GB2312" w:cs="仿宋_GB2312"/>
                <w:bCs/>
                <w:sz w:val="21"/>
                <w:szCs w:val="21"/>
              </w:rPr>
              <w:t>作为微专业的核心技术赋能课程，本课程聚焦数据驱动营销决策的核心目标。依托中联教育商务数据分析实训平台，使用真实行业数据，紧扣数字营销与跨境场景，涵盖数据处理基础、营销数据分析核心模型，培养学生从真实数据中提取营销洞察、优化策略的核心能力。</w:t>
            </w:r>
          </w:p>
          <w:p w14:paraId="39B53BD1">
            <w:pPr>
              <w:widowControl/>
              <w:snapToGrid w:val="0"/>
              <w:ind w:left="0" w:leftChars="0" w:right="0" w:rightChars="0" w:firstLine="420" w:firstLineChars="200"/>
              <w:jc w:val="left"/>
              <w:rPr>
                <w:rFonts w:hint="eastAsia" w:ascii="仿宋_GB2312" w:hAnsi="仿宋_GB2312" w:eastAsia="仿宋_GB2312" w:cs="仿宋_GB2312"/>
                <w:bCs/>
                <w:sz w:val="21"/>
                <w:szCs w:val="21"/>
              </w:rPr>
            </w:pPr>
            <w:r>
              <w:rPr>
                <w:rFonts w:hint="eastAsia" w:ascii="仿宋_GB2312" w:hAnsi="仿宋_GB2312" w:eastAsia="仿宋_GB2312" w:cs="仿宋_GB2312"/>
                <w:bCs/>
                <w:sz w:val="21"/>
                <w:szCs w:val="21"/>
              </w:rPr>
              <w:t>教学设计</w:t>
            </w:r>
            <w:r>
              <w:rPr>
                <w:rFonts w:hint="eastAsia" w:ascii="仿宋_GB2312" w:hAnsi="仿宋_GB2312" w:eastAsia="仿宋_GB2312" w:cs="仿宋_GB2312"/>
                <w:bCs/>
                <w:sz w:val="21"/>
                <w:szCs w:val="21"/>
                <w:lang w:val="en-US" w:eastAsia="zh-CN"/>
              </w:rPr>
              <w:t>上，</w:t>
            </w:r>
            <w:r>
              <w:rPr>
                <w:rFonts w:hint="eastAsia" w:ascii="仿宋_GB2312" w:hAnsi="仿宋_GB2312" w:eastAsia="仿宋_GB2312" w:cs="仿宋_GB2312"/>
                <w:bCs/>
                <w:sz w:val="21"/>
                <w:szCs w:val="21"/>
              </w:rPr>
              <w:t>理论讲解与工具实操结合</w:t>
            </w:r>
            <w:r>
              <w:rPr>
                <w:rFonts w:hint="eastAsia" w:ascii="仿宋_GB2312" w:hAnsi="仿宋_GB2312" w:eastAsia="仿宋_GB2312" w:cs="仿宋_GB2312"/>
                <w:bCs/>
                <w:sz w:val="21"/>
                <w:szCs w:val="21"/>
                <w:lang w:eastAsia="zh-CN"/>
              </w:rPr>
              <w:t>，</w:t>
            </w:r>
            <w:r>
              <w:rPr>
                <w:rFonts w:hint="eastAsia" w:ascii="仿宋_GB2312" w:hAnsi="仿宋_GB2312" w:eastAsia="仿宋_GB2312" w:cs="仿宋_GB2312"/>
                <w:bCs/>
                <w:sz w:val="21"/>
                <w:szCs w:val="21"/>
              </w:rPr>
              <w:t>学生运用</w:t>
            </w:r>
            <w:r>
              <w:rPr>
                <w:rFonts w:hint="eastAsia" w:ascii="仿宋_GB2312" w:hAnsi="仿宋_GB2312" w:eastAsia="仿宋_GB2312" w:cs="仿宋_GB2312"/>
                <w:bCs/>
                <w:sz w:val="21"/>
                <w:szCs w:val="21"/>
                <w:lang w:val="en-US" w:eastAsia="zh-CN"/>
              </w:rPr>
              <w:t>统计软件</w:t>
            </w:r>
            <w:r>
              <w:rPr>
                <w:rFonts w:hint="eastAsia" w:ascii="仿宋_GB2312" w:hAnsi="仿宋_GB2312" w:eastAsia="仿宋_GB2312" w:cs="仿宋_GB2312"/>
                <w:bCs/>
                <w:sz w:val="21"/>
                <w:szCs w:val="21"/>
              </w:rPr>
              <w:t>处理真实数据，提炼营销洞察并优化策略，培养数据驱动决策能力。</w:t>
            </w:r>
          </w:p>
        </w:tc>
      </w:tr>
      <w:tr w14:paraId="1D179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16" w:type="dxa"/>
            <w:vAlign w:val="center"/>
          </w:tcPr>
          <w:p w14:paraId="00DFAFF9">
            <w:pPr>
              <w:widowControl/>
              <w:snapToGrid w:val="0"/>
              <w:ind w:left="0" w:leftChars="0" w:right="0" w:rightChars="0" w:firstLine="0" w:firstLineChars="0"/>
              <w:jc w:val="center"/>
              <w:rPr>
                <w:rFonts w:hint="eastAsia" w:ascii="仿宋_GB2312" w:hAnsi="仿宋_GB2312" w:eastAsia="仿宋_GB2312" w:cs="仿宋_GB2312"/>
                <w:bCs/>
                <w:sz w:val="21"/>
                <w:szCs w:val="21"/>
              </w:rPr>
            </w:pPr>
            <w:r>
              <w:rPr>
                <w:rFonts w:hint="eastAsia" w:ascii="仿宋_GB2312" w:hAnsi="仿宋_GB2312" w:eastAsia="仿宋_GB2312" w:cs="仿宋_GB2312"/>
                <w:bCs/>
                <w:sz w:val="21"/>
                <w:szCs w:val="21"/>
              </w:rPr>
              <w:t>5</w:t>
            </w:r>
          </w:p>
        </w:tc>
        <w:tc>
          <w:tcPr>
            <w:tcW w:w="1988" w:type="dxa"/>
            <w:vAlign w:val="center"/>
          </w:tcPr>
          <w:p w14:paraId="444EB702">
            <w:pPr>
              <w:widowControl/>
              <w:snapToGrid w:val="0"/>
              <w:ind w:left="0" w:leftChars="0" w:right="0" w:rightChars="0" w:firstLine="0" w:firstLineChars="0"/>
              <w:jc w:val="center"/>
              <w:rPr>
                <w:rFonts w:hint="eastAsia" w:ascii="仿宋_GB2312" w:hAnsi="仿宋_GB2312" w:eastAsia="仿宋_GB2312" w:cs="仿宋_GB2312"/>
                <w:bCs/>
                <w:sz w:val="21"/>
                <w:szCs w:val="21"/>
              </w:rPr>
            </w:pPr>
            <w:r>
              <w:rPr>
                <w:rFonts w:hint="eastAsia" w:ascii="仿宋_GB2312" w:hAnsi="仿宋_GB2312" w:eastAsia="仿宋_GB2312" w:cs="仿宋_GB2312"/>
                <w:bCs/>
                <w:sz w:val="21"/>
                <w:szCs w:val="21"/>
                <w:lang w:val="en-US" w:eastAsia="zh-CN"/>
              </w:rPr>
              <w:t>数字化</w:t>
            </w:r>
            <w:r>
              <w:rPr>
                <w:rFonts w:hint="default" w:ascii="仿宋_GB2312" w:hAnsi="仿宋_GB2312" w:eastAsia="仿宋_GB2312" w:cs="仿宋_GB2312"/>
                <w:bCs/>
                <w:sz w:val="21"/>
                <w:szCs w:val="21"/>
                <w:lang w:val="en-US" w:eastAsia="zh-CN"/>
              </w:rPr>
              <w:t>市场</w:t>
            </w:r>
            <w:r>
              <w:rPr>
                <w:rFonts w:hint="eastAsia" w:ascii="仿宋_GB2312" w:hAnsi="仿宋_GB2312" w:eastAsia="仿宋_GB2312" w:cs="仿宋_GB2312"/>
                <w:bCs/>
                <w:sz w:val="21"/>
                <w:szCs w:val="21"/>
                <w:lang w:val="en-US" w:eastAsia="zh-CN"/>
              </w:rPr>
              <w:t>调研</w:t>
            </w:r>
          </w:p>
        </w:tc>
        <w:tc>
          <w:tcPr>
            <w:tcW w:w="6145" w:type="dxa"/>
            <w:tcBorders>
              <w:top w:val="single" w:color="auto" w:sz="4" w:space="0"/>
              <w:bottom w:val="single" w:color="auto" w:sz="4" w:space="0"/>
            </w:tcBorders>
            <w:vAlign w:val="center"/>
          </w:tcPr>
          <w:p w14:paraId="05B090FE">
            <w:pPr>
              <w:widowControl/>
              <w:snapToGrid w:val="0"/>
              <w:ind w:left="0" w:leftChars="0" w:right="0" w:rightChars="0" w:firstLine="420" w:firstLineChars="200"/>
              <w:jc w:val="left"/>
              <w:rPr>
                <w:rFonts w:hint="eastAsia" w:ascii="仿宋_GB2312" w:hAnsi="仿宋_GB2312" w:eastAsia="仿宋_GB2312" w:cs="仿宋_GB2312"/>
                <w:bCs/>
                <w:sz w:val="21"/>
                <w:szCs w:val="21"/>
              </w:rPr>
            </w:pPr>
            <w:r>
              <w:rPr>
                <w:rFonts w:hint="eastAsia" w:ascii="仿宋_GB2312" w:hAnsi="仿宋_GB2312" w:eastAsia="仿宋_GB2312" w:cs="仿宋_GB2312"/>
                <w:bCs/>
                <w:sz w:val="21"/>
                <w:szCs w:val="21"/>
              </w:rPr>
              <w:t>本课程以“数字工具赋能调研全流程”为核心，依托国际商学院营销实战资源，聚焦数字营销场景下的市场洞察能力培养。课程系统讲解数字化调研的核心方法：数据采集、数字化调研工具实操、调研数据处理与合规性等。教学中结合营销真实需求，组织学生分组完成全流程调研项目，从调研方案设计、数据采集分析到报告输出，掌握用数字化工具解决市场洞察问题的实战能力，为营销决策提供科学支撑。</w:t>
            </w:r>
          </w:p>
          <w:p w14:paraId="6DAB8543">
            <w:pPr>
              <w:widowControl/>
              <w:snapToGrid w:val="0"/>
              <w:ind w:left="0" w:leftChars="0" w:right="0" w:rightChars="0" w:firstLine="420" w:firstLineChars="200"/>
              <w:jc w:val="left"/>
              <w:rPr>
                <w:rFonts w:hint="eastAsia" w:ascii="仿宋_GB2312" w:hAnsi="仿宋_GB2312" w:eastAsia="仿宋_GB2312" w:cs="仿宋_GB2312"/>
                <w:bCs/>
                <w:sz w:val="21"/>
                <w:szCs w:val="21"/>
              </w:rPr>
            </w:pPr>
            <w:r>
              <w:rPr>
                <w:rFonts w:hint="eastAsia" w:ascii="仿宋_GB2312" w:hAnsi="仿宋_GB2312" w:eastAsia="仿宋_GB2312" w:cs="仿宋_GB2312"/>
                <w:bCs/>
                <w:sz w:val="21"/>
                <w:szCs w:val="21"/>
              </w:rPr>
              <w:t>教学设计</w:t>
            </w:r>
            <w:r>
              <w:rPr>
                <w:rFonts w:hint="eastAsia" w:ascii="仿宋_GB2312" w:hAnsi="仿宋_GB2312" w:eastAsia="仿宋_GB2312" w:cs="仿宋_GB2312"/>
                <w:bCs/>
                <w:sz w:val="21"/>
                <w:szCs w:val="21"/>
                <w:lang w:val="en-US" w:eastAsia="zh-CN"/>
              </w:rPr>
              <w:t>上，</w:t>
            </w:r>
            <w:r>
              <w:rPr>
                <w:rFonts w:hint="eastAsia" w:ascii="仿宋_GB2312" w:hAnsi="仿宋_GB2312" w:eastAsia="仿宋_GB2312" w:cs="仿宋_GB2312"/>
                <w:bCs/>
                <w:sz w:val="21"/>
                <w:szCs w:val="21"/>
              </w:rPr>
              <w:t>采用项目制教学，组织学生分组完成全流程调研任务，从方案设计、数据采集分析到报告输出，强化数字化工具解决实际问题的实战能力。</w:t>
            </w:r>
          </w:p>
        </w:tc>
      </w:tr>
    </w:tbl>
    <w:p w14:paraId="75ED79F5"/>
    <w:sectPr>
      <w:pgSz w:w="11906" w:h="16838"/>
      <w:pgMar w:top="1134" w:right="1418" w:bottom="1134" w:left="1418" w:header="851" w:footer="454"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B587838-4FD7-4DBC-A04F-E520C788961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48DD5B2A-61EF-4068-90D5-B7922CC98B1D}"/>
  </w:font>
  <w:font w:name="仿宋_GB2312">
    <w:altName w:val="仿宋"/>
    <w:panose1 w:val="02010609030101010101"/>
    <w:charset w:val="86"/>
    <w:family w:val="modern"/>
    <w:pitch w:val="default"/>
    <w:sig w:usb0="00000000" w:usb1="00000000" w:usb2="00000000" w:usb3="00000000" w:csb0="00040000" w:csb1="00000000"/>
    <w:embedRegular r:id="rId3" w:fontKey="{3A1B568A-13A8-4666-82F1-434C60232974}"/>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E5MmIxMDA0NmUxMTI3OTI0ODcyOTk2MmYwM2I1NGIifQ=="/>
  </w:docVars>
  <w:rsids>
    <w:rsidRoot w:val="0AE32D0C"/>
    <w:rsid w:val="000703B8"/>
    <w:rsid w:val="0007770F"/>
    <w:rsid w:val="001D40F7"/>
    <w:rsid w:val="001E18A9"/>
    <w:rsid w:val="002D1061"/>
    <w:rsid w:val="00372B72"/>
    <w:rsid w:val="00381A54"/>
    <w:rsid w:val="004B5A3E"/>
    <w:rsid w:val="005545E7"/>
    <w:rsid w:val="00597148"/>
    <w:rsid w:val="005D0C17"/>
    <w:rsid w:val="00757B4D"/>
    <w:rsid w:val="008C1075"/>
    <w:rsid w:val="009B1FE8"/>
    <w:rsid w:val="009F6304"/>
    <w:rsid w:val="00B348CD"/>
    <w:rsid w:val="00BC45A1"/>
    <w:rsid w:val="00D529C8"/>
    <w:rsid w:val="00DB7AED"/>
    <w:rsid w:val="00F16F11"/>
    <w:rsid w:val="01A324E9"/>
    <w:rsid w:val="025657AD"/>
    <w:rsid w:val="02641DFB"/>
    <w:rsid w:val="04A73D2B"/>
    <w:rsid w:val="050419A7"/>
    <w:rsid w:val="05300538"/>
    <w:rsid w:val="06300FCF"/>
    <w:rsid w:val="09954E0D"/>
    <w:rsid w:val="0AE32D0C"/>
    <w:rsid w:val="0AF85A36"/>
    <w:rsid w:val="0C402E4A"/>
    <w:rsid w:val="0C7A3C79"/>
    <w:rsid w:val="0FB93D29"/>
    <w:rsid w:val="108856CC"/>
    <w:rsid w:val="10A75028"/>
    <w:rsid w:val="1165300E"/>
    <w:rsid w:val="175A6EDF"/>
    <w:rsid w:val="1A393593"/>
    <w:rsid w:val="1C4F3541"/>
    <w:rsid w:val="1D2D4C5B"/>
    <w:rsid w:val="1EEF22CE"/>
    <w:rsid w:val="207517F8"/>
    <w:rsid w:val="212C6D05"/>
    <w:rsid w:val="21BF3E1B"/>
    <w:rsid w:val="22401962"/>
    <w:rsid w:val="2342170A"/>
    <w:rsid w:val="23D031BA"/>
    <w:rsid w:val="27054585"/>
    <w:rsid w:val="2D572256"/>
    <w:rsid w:val="2DC72F38"/>
    <w:rsid w:val="352E7D40"/>
    <w:rsid w:val="35B30245"/>
    <w:rsid w:val="39FE4185"/>
    <w:rsid w:val="3A8618C8"/>
    <w:rsid w:val="3D7106DB"/>
    <w:rsid w:val="3E715E15"/>
    <w:rsid w:val="42A15A77"/>
    <w:rsid w:val="43217136"/>
    <w:rsid w:val="442D2478"/>
    <w:rsid w:val="45B42AAD"/>
    <w:rsid w:val="45EC7588"/>
    <w:rsid w:val="46E13E64"/>
    <w:rsid w:val="47170634"/>
    <w:rsid w:val="481B4074"/>
    <w:rsid w:val="49530C2E"/>
    <w:rsid w:val="496038EF"/>
    <w:rsid w:val="499B72F7"/>
    <w:rsid w:val="4C982217"/>
    <w:rsid w:val="4F033B61"/>
    <w:rsid w:val="537C0633"/>
    <w:rsid w:val="53966503"/>
    <w:rsid w:val="54C3152D"/>
    <w:rsid w:val="550A5C7C"/>
    <w:rsid w:val="58393E55"/>
    <w:rsid w:val="591744C4"/>
    <w:rsid w:val="5B324E66"/>
    <w:rsid w:val="5C2667BC"/>
    <w:rsid w:val="60E0197E"/>
    <w:rsid w:val="6221580D"/>
    <w:rsid w:val="64844FF7"/>
    <w:rsid w:val="649F2FD7"/>
    <w:rsid w:val="687B4BF8"/>
    <w:rsid w:val="687E1793"/>
    <w:rsid w:val="6ABC6060"/>
    <w:rsid w:val="6C2429A7"/>
    <w:rsid w:val="6C3063BD"/>
    <w:rsid w:val="6E333E16"/>
    <w:rsid w:val="6EDB52A7"/>
    <w:rsid w:val="70E37655"/>
    <w:rsid w:val="73EC4A73"/>
    <w:rsid w:val="7539033A"/>
    <w:rsid w:val="75F566C9"/>
    <w:rsid w:val="76BE6545"/>
    <w:rsid w:val="78680440"/>
    <w:rsid w:val="7A1906CA"/>
    <w:rsid w:val="7A3D7C81"/>
    <w:rsid w:val="7BA541AE"/>
    <w:rsid w:val="7BEA0F7C"/>
    <w:rsid w:val="7F625B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character" w:styleId="5">
    <w:name w:val="Strong"/>
    <w:basedOn w:val="4"/>
    <w:qFormat/>
    <w:uiPriority w:val="0"/>
    <w:rPr>
      <w:b/>
    </w:rPr>
  </w:style>
  <w:style w:type="paragraph" w:styleId="6">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1811</Words>
  <Characters>1835</Characters>
  <Lines>3</Lines>
  <Paragraphs>1</Paragraphs>
  <TotalTime>0</TotalTime>
  <ScaleCrop>false</ScaleCrop>
  <LinksUpToDate>false</LinksUpToDate>
  <CharactersWithSpaces>1835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2023-05-06T03:14:00Z</dcterms:created>
  <dc:creator>Shine_ZHOU</dc:creator>
  <cp:lastModifiedBy>知足常乐</cp:lastModifiedBy>
  <dcterms:modified xsi:type="dcterms:W3CDTF">2026-03-02T08:31:33Z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89BE444AC31A41DE92AD2CE08303C9EE</vt:lpwstr>
  </property>
  <property fmtid="{D5CDD505-2E9C-101B-9397-08002B2CF9AE}" pid="4" name="KSOTemplateDocerSaveRecord">
    <vt:lpwstr>eyJoZGlkIjoiMjI4MzZlNmFmOWJmY2NkNDQ2ZTg1NDcyZDVjOWZlMGQiLCJ1c2VySWQiOiI0NDI2MTc4OTMifQ==</vt:lpwstr>
  </property>
</Properties>
</file>